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080" w:firstLineChars="1900"/>
        <w:rPr>
          <w:rFonts w:hint="eastAsia" w:eastAsia="黑体"/>
        </w:rPr>
      </w:pPr>
      <w:bookmarkStart w:id="0" w:name="_GoBack"/>
      <w:bookmarkEnd w:id="0"/>
      <w:r>
        <w:rPr>
          <w:rFonts w:hint="eastAsia" w:eastAsia="黑体"/>
        </w:rPr>
        <w:t>ZSFS—2022ZB—04</w:t>
      </w:r>
    </w:p>
    <w:p>
      <w:pPr>
        <w:spacing w:line="600" w:lineRule="exact"/>
        <w:rPr>
          <w:rFonts w:eastAsia="黑体"/>
        </w:rPr>
      </w:pPr>
    </w:p>
    <w:p>
      <w:pPr>
        <w:spacing w:line="600" w:lineRule="exact"/>
        <w:rPr>
          <w:b/>
        </w:rPr>
      </w:pPr>
    </w:p>
    <w:p>
      <w:pPr>
        <w:spacing w:line="600" w:lineRule="exact"/>
        <w:rPr>
          <w:b/>
        </w:rPr>
      </w:pPr>
    </w:p>
    <w:p>
      <w:pPr>
        <w:tabs>
          <w:tab w:val="left" w:pos="5508"/>
        </w:tabs>
        <w:spacing w:line="600" w:lineRule="exact"/>
        <w:rPr>
          <w:b/>
        </w:rPr>
      </w:pPr>
      <w:r>
        <w:rPr>
          <w:b/>
        </w:rPr>
        <w:tab/>
      </w:r>
    </w:p>
    <w:p>
      <w:pPr>
        <w:spacing w:line="560" w:lineRule="exact"/>
        <w:rPr>
          <w:b/>
        </w:rPr>
      </w:pPr>
    </w:p>
    <w:p>
      <w:pPr>
        <w:spacing w:line="560" w:lineRule="exact"/>
        <w:rPr>
          <w:b/>
        </w:rPr>
      </w:pPr>
    </w:p>
    <w:p>
      <w:pPr>
        <w:spacing w:line="560" w:lineRule="exact"/>
        <w:rPr>
          <w:b/>
        </w:rPr>
      </w:pPr>
    </w:p>
    <w:p>
      <w:pPr>
        <w:spacing w:line="360" w:lineRule="exact"/>
        <w:rPr>
          <w:b/>
        </w:rPr>
      </w:pPr>
    </w:p>
    <w:p>
      <w:pPr>
        <w:spacing w:line="360" w:lineRule="exact"/>
        <w:rPr>
          <w:b/>
        </w:rPr>
      </w:pPr>
    </w:p>
    <w:p>
      <w:pPr>
        <w:spacing w:line="380" w:lineRule="exact"/>
        <w:rPr>
          <w:b/>
        </w:rPr>
      </w:pPr>
    </w:p>
    <w:p>
      <w:pPr>
        <w:tabs>
          <w:tab w:val="left" w:pos="316"/>
          <w:tab w:val="left" w:pos="8532"/>
          <w:tab w:val="left" w:pos="8690"/>
        </w:tabs>
        <w:snapToGrid w:val="0"/>
        <w:spacing w:line="600" w:lineRule="exact"/>
        <w:jc w:val="center"/>
      </w:pPr>
      <w:r>
        <w:t>州政办发〔2022〕72号</w:t>
      </w:r>
    </w:p>
    <w:p>
      <w:pPr>
        <w:spacing w:line="300" w:lineRule="exact"/>
      </w:pPr>
    </w:p>
    <w:p>
      <w:pPr>
        <w:spacing w:line="300" w:lineRule="exact"/>
        <w:rPr>
          <w:rFonts w:eastAsia="方正小标宋简体"/>
          <w:sz w:val="44"/>
          <w:szCs w:val="44"/>
        </w:rPr>
      </w:pPr>
    </w:p>
    <w:p>
      <w:pPr>
        <w:spacing w:line="520" w:lineRule="exact"/>
        <w:jc w:val="center"/>
        <w:rPr>
          <w:rFonts w:eastAsia="方正小标宋简体"/>
          <w:b/>
          <w:sz w:val="44"/>
          <w:szCs w:val="44"/>
        </w:rPr>
      </w:pPr>
      <w:r>
        <w:rPr>
          <w:rFonts w:hAnsi="方正小标宋简体" w:eastAsia="方正小标宋简体"/>
          <w:b/>
          <w:sz w:val="44"/>
          <w:szCs w:val="44"/>
        </w:rPr>
        <w:t>甘南藏族自治州人民政府办公室</w:t>
      </w:r>
    </w:p>
    <w:p>
      <w:pPr>
        <w:spacing w:line="520" w:lineRule="exact"/>
        <w:jc w:val="center"/>
        <w:rPr>
          <w:rFonts w:eastAsia="方正小标宋简体"/>
          <w:b/>
          <w:sz w:val="44"/>
          <w:szCs w:val="44"/>
        </w:rPr>
      </w:pPr>
      <w:r>
        <w:rPr>
          <w:rFonts w:hAnsi="方正小标宋简体" w:eastAsia="方正小标宋简体"/>
          <w:b/>
          <w:sz w:val="44"/>
          <w:szCs w:val="44"/>
        </w:rPr>
        <w:t>关于印发甘南州职工基本医疗保险门诊</w:t>
      </w:r>
    </w:p>
    <w:p>
      <w:pPr>
        <w:spacing w:line="520" w:lineRule="exact"/>
        <w:jc w:val="center"/>
        <w:rPr>
          <w:rFonts w:eastAsia="方正小标宋简体"/>
          <w:b/>
          <w:sz w:val="44"/>
          <w:szCs w:val="44"/>
        </w:rPr>
      </w:pPr>
      <w:r>
        <w:rPr>
          <w:rFonts w:hAnsi="方正小标宋简体" w:eastAsia="方正小标宋简体"/>
          <w:b/>
          <w:sz w:val="44"/>
          <w:szCs w:val="44"/>
        </w:rPr>
        <w:t>共济保障实施细则的通知</w:t>
      </w:r>
    </w:p>
    <w:p>
      <w:pPr>
        <w:spacing w:line="520" w:lineRule="exact"/>
      </w:pPr>
    </w:p>
    <w:p>
      <w:pPr>
        <w:spacing w:line="520" w:lineRule="exact"/>
      </w:pPr>
      <w:r>
        <w:rPr>
          <w:rFonts w:hAnsi="仿宋_GB2312"/>
        </w:rPr>
        <w:t>各县市人民政府，州政府各部门、省属驻州各单位：</w:t>
      </w:r>
    </w:p>
    <w:p>
      <w:pPr>
        <w:spacing w:line="520" w:lineRule="exact"/>
      </w:pPr>
      <w:r>
        <w:t xml:space="preserve">   </w:t>
      </w:r>
      <w:r>
        <w:rPr>
          <w:rFonts w:hAnsi="仿宋_GB2312"/>
        </w:rPr>
        <w:t>《甘南州职工基本医疗保险门诊共济保障实施细则》，已经州政府同意，现印发你们，请结合实际认真抓好贯彻落实。</w:t>
      </w:r>
    </w:p>
    <w:p>
      <w:pPr>
        <w:spacing w:line="500" w:lineRule="exact"/>
        <w:ind w:firstLine="4800" w:firstLineChars="1500"/>
      </w:pPr>
    </w:p>
    <w:p>
      <w:pPr>
        <w:spacing w:line="500" w:lineRule="exact"/>
        <w:ind w:firstLine="4800" w:firstLineChars="1500"/>
      </w:pPr>
    </w:p>
    <w:p>
      <w:pPr>
        <w:widowControl/>
        <w:snapToGrid w:val="0"/>
        <w:spacing w:line="500" w:lineRule="exact"/>
        <w:ind w:firstLine="2100" w:firstLineChars="1000"/>
        <w:textAlignment w:val="baseline"/>
        <w:rPr>
          <w:rStyle w:val="43"/>
          <w:rFonts w:ascii="Times New Roman" w:hAnsi="Times New Roman" w:eastAsia="仿宋_GB2312"/>
          <w:sz w:val="32"/>
          <w:szCs w:val="32"/>
        </w:rPr>
      </w:pPr>
      <w:r>
        <w:rPr>
          <w:rStyle w:val="43"/>
          <w:rFonts w:ascii="Times New Roman" w:hAnsi="Times New Roman"/>
        </w:rPr>
        <w:t xml:space="preserve">                     </w:t>
      </w:r>
      <w:r>
        <w:rPr>
          <w:rStyle w:val="43"/>
          <w:rFonts w:ascii="Times New Roman" w:hAnsi="Times New Roman" w:eastAsia="仿宋_GB2312"/>
          <w:sz w:val="32"/>
          <w:szCs w:val="32"/>
        </w:rPr>
        <w:t>甘南藏族自治州人民政府办公室</w:t>
      </w:r>
    </w:p>
    <w:p>
      <w:pPr>
        <w:spacing w:line="500" w:lineRule="exact"/>
        <w:ind w:firstLine="4912" w:firstLineChars="1600"/>
        <w:rPr>
          <w:w w:val="96"/>
        </w:rPr>
      </w:pPr>
      <w:r>
        <w:rPr>
          <w:w w:val="96"/>
        </w:rPr>
        <w:t xml:space="preserve">   2022年8月22日</w:t>
      </w:r>
    </w:p>
    <w:p>
      <w:pPr>
        <w:pStyle w:val="41"/>
        <w:numPr>
          <w:ilvl w:val="0"/>
          <w:numId w:val="0"/>
        </w:numPr>
        <w:ind w:firstLine="640" w:firstLineChars="200"/>
        <w:rPr>
          <w:rFonts w:ascii="Times New Roman" w:hAnsi="Times New Roman" w:eastAsia="仿宋_GB2312"/>
          <w:kern w:val="2"/>
          <w:sz w:val="32"/>
          <w:szCs w:val="32"/>
        </w:rPr>
      </w:pPr>
      <w:r>
        <w:rPr>
          <w:rFonts w:ascii="Times New Roman" w:hAnsi="仿宋_GB2312" w:eastAsia="仿宋_GB2312"/>
          <w:kern w:val="2"/>
          <w:sz w:val="32"/>
          <w:szCs w:val="32"/>
        </w:rPr>
        <w:t>（此件公开发布）</w:t>
      </w:r>
    </w:p>
    <w:p>
      <w:pPr>
        <w:pStyle w:val="41"/>
        <w:numPr>
          <w:ilvl w:val="0"/>
          <w:numId w:val="0"/>
        </w:numPr>
        <w:rPr>
          <w:rFonts w:ascii="Times New Roman" w:hAnsi="Times New Roman"/>
        </w:rPr>
      </w:pPr>
    </w:p>
    <w:p>
      <w:pPr>
        <w:spacing w:line="660" w:lineRule="exact"/>
        <w:jc w:val="center"/>
        <w:rPr>
          <w:rFonts w:eastAsia="方正小标宋简体"/>
          <w:b/>
          <w:sz w:val="44"/>
          <w:szCs w:val="44"/>
        </w:rPr>
      </w:pPr>
      <w:r>
        <w:rPr>
          <w:rFonts w:hAnsi="方正小标宋简体" w:eastAsia="方正小标宋简体"/>
          <w:b/>
          <w:sz w:val="44"/>
          <w:szCs w:val="44"/>
        </w:rPr>
        <w:t>甘南州职工基本医疗保险门诊</w:t>
      </w:r>
    </w:p>
    <w:p>
      <w:pPr>
        <w:spacing w:line="660" w:lineRule="exact"/>
        <w:jc w:val="center"/>
        <w:rPr>
          <w:rFonts w:eastAsia="方正小标宋简体"/>
          <w:b/>
          <w:sz w:val="44"/>
          <w:szCs w:val="44"/>
        </w:rPr>
      </w:pPr>
      <w:r>
        <w:rPr>
          <w:rFonts w:hAnsi="方正小标宋简体" w:eastAsia="方正小标宋简体"/>
          <w:b/>
          <w:sz w:val="44"/>
          <w:szCs w:val="44"/>
        </w:rPr>
        <w:t>共济保障实施细则</w:t>
      </w:r>
    </w:p>
    <w:p>
      <w:pPr>
        <w:spacing w:line="300" w:lineRule="exact"/>
        <w:ind w:firstLine="640" w:firstLineChars="200"/>
      </w:pPr>
    </w:p>
    <w:p>
      <w:pPr>
        <w:spacing w:line="640" w:lineRule="exact"/>
        <w:jc w:val="center"/>
        <w:rPr>
          <w:rFonts w:eastAsia="黑体"/>
          <w:bCs/>
        </w:rPr>
      </w:pPr>
      <w:r>
        <w:rPr>
          <w:rFonts w:hAnsi="黑体" w:eastAsia="黑体"/>
          <w:bCs/>
        </w:rPr>
        <w:t>第一章</w:t>
      </w:r>
      <w:r>
        <w:rPr>
          <w:rFonts w:eastAsia="黑体"/>
          <w:bCs/>
        </w:rPr>
        <w:t xml:space="preserve">    </w:t>
      </w:r>
      <w:r>
        <w:rPr>
          <w:rFonts w:hAnsi="黑体" w:eastAsia="黑体"/>
          <w:bCs/>
        </w:rPr>
        <w:t>总</w:t>
      </w:r>
      <w:r>
        <w:rPr>
          <w:rFonts w:eastAsia="黑体"/>
          <w:bCs/>
        </w:rPr>
        <w:t xml:space="preserve"> </w:t>
      </w:r>
      <w:r>
        <w:rPr>
          <w:rFonts w:hAnsi="黑体" w:eastAsia="黑体"/>
          <w:bCs/>
        </w:rPr>
        <w:t>则</w:t>
      </w:r>
    </w:p>
    <w:p>
      <w:pPr>
        <w:spacing w:line="300" w:lineRule="exact"/>
        <w:rPr>
          <w:rFonts w:eastAsia="楷体_GB2312"/>
          <w:b/>
          <w:bCs/>
        </w:rPr>
      </w:pPr>
    </w:p>
    <w:p>
      <w:pPr>
        <w:spacing w:line="600" w:lineRule="exact"/>
        <w:ind w:firstLine="643" w:firstLineChars="200"/>
      </w:pPr>
      <w:r>
        <w:rPr>
          <w:rFonts w:hAnsi="楷体_GB2312" w:eastAsia="楷体_GB2312"/>
          <w:b/>
          <w:bCs/>
        </w:rPr>
        <w:t>第一条</w:t>
      </w:r>
      <w:r>
        <w:t xml:space="preserve"> </w:t>
      </w:r>
      <w:r>
        <w:rPr>
          <w:rFonts w:hAnsi="仿宋_GB2312"/>
        </w:rPr>
        <w:t>为进一步完善职工基本医疗保险（以下简称职工医保）制度，更好解决职工医保参保人员门诊保障问题，根据</w:t>
      </w:r>
      <w:r>
        <w:t xml:space="preserve"> </w:t>
      </w:r>
      <w:r>
        <w:rPr>
          <w:rFonts w:hAnsi="仿宋_GB2312"/>
        </w:rPr>
        <w:t>《甘肃省人民政府办公室关于印发甘肃省职工基本医疗保险门诊共济保障实施办法的通知》（甘政办发〔</w:t>
      </w:r>
      <w:r>
        <w:t>2021</w:t>
      </w:r>
      <w:r>
        <w:rPr>
          <w:rFonts w:hAnsi="仿宋_GB2312"/>
        </w:rPr>
        <w:t>〕</w:t>
      </w:r>
      <w:r>
        <w:t>111</w:t>
      </w:r>
      <w:r>
        <w:rPr>
          <w:rFonts w:hAnsi="仿宋_GB2312"/>
        </w:rPr>
        <w:t>号），结合我州实际，制定本实施细则。</w:t>
      </w:r>
    </w:p>
    <w:p>
      <w:pPr>
        <w:spacing w:line="600" w:lineRule="exact"/>
        <w:ind w:firstLine="643" w:firstLineChars="200"/>
      </w:pPr>
      <w:r>
        <w:rPr>
          <w:rFonts w:hAnsi="楷体_GB2312" w:eastAsia="楷体_GB2312"/>
          <w:b/>
          <w:bCs/>
        </w:rPr>
        <w:t>第二条</w:t>
      </w:r>
      <w:r>
        <w:rPr>
          <w:rFonts w:eastAsia="楷体_GB2312"/>
          <w:b/>
          <w:bCs/>
        </w:rPr>
        <w:t xml:space="preserve"> </w:t>
      </w:r>
      <w:r>
        <w:rPr>
          <w:rFonts w:hAnsi="仿宋_GB2312"/>
        </w:rPr>
        <w:t>建立职工医保门诊共济保障机制，主要是将门诊医疗费用纳入职工医保统筹基金支付范围，改革职工医保个人账户，提高医保基金使用效率，切实减轻参保人员医疗费用负担，实现制度更加公平可持续。</w:t>
      </w:r>
    </w:p>
    <w:p>
      <w:pPr>
        <w:spacing w:line="600" w:lineRule="exact"/>
        <w:ind w:firstLine="643" w:firstLineChars="200"/>
      </w:pPr>
      <w:r>
        <w:rPr>
          <w:rFonts w:hAnsi="楷体_GB2312" w:eastAsia="楷体_GB2312"/>
          <w:b/>
          <w:bCs/>
        </w:rPr>
        <w:t>第三条</w:t>
      </w:r>
      <w:r>
        <w:t xml:space="preserve"> </w:t>
      </w:r>
      <w:r>
        <w:rPr>
          <w:rFonts w:hAnsi="仿宋_GB2312"/>
        </w:rPr>
        <w:t>建立职工医保门诊共济保障机制，坚持保障基本统筹共济，切实维护参保人员权益；坚持平稳过渡，使改革前后待遇顺畅衔接；坚持政策联动，完善门诊保障机制和改进个人账户制度同步推进、逐步转换；坚持因地制宜，从实际出发积极探索增强职工医保门诊共济保障的有效途径。</w:t>
      </w:r>
    </w:p>
    <w:p>
      <w:pPr>
        <w:spacing w:line="600" w:lineRule="exact"/>
        <w:ind w:firstLine="643" w:firstLineChars="200"/>
        <w:rPr>
          <w:b/>
          <w:bCs/>
        </w:rPr>
      </w:pPr>
      <w:r>
        <w:rPr>
          <w:rFonts w:hAnsi="楷体_GB2312" w:eastAsia="楷体_GB2312"/>
          <w:b/>
          <w:bCs/>
        </w:rPr>
        <w:t>第四条</w:t>
      </w:r>
      <w:r>
        <w:rPr>
          <w:rFonts w:eastAsia="楷体_GB2312"/>
          <w:b/>
          <w:bCs/>
        </w:rPr>
        <w:t xml:space="preserve"> </w:t>
      </w:r>
      <w:r>
        <w:rPr>
          <w:rFonts w:hAnsi="仿宋_GB2312"/>
        </w:rPr>
        <w:t>本实施细则适用于甘南州职工医保参保人员和参加职工医保的灵活就业人员（以下简称职工）普通门诊医疗费用保障。</w:t>
      </w:r>
    </w:p>
    <w:p>
      <w:pPr>
        <w:spacing w:line="300" w:lineRule="exact"/>
        <w:jc w:val="center"/>
        <w:rPr>
          <w:b/>
          <w:bCs/>
        </w:rPr>
      </w:pPr>
    </w:p>
    <w:p>
      <w:pPr>
        <w:spacing w:line="600" w:lineRule="exact"/>
        <w:jc w:val="center"/>
        <w:rPr>
          <w:rFonts w:eastAsia="黑体"/>
          <w:bCs/>
        </w:rPr>
      </w:pPr>
      <w:r>
        <w:rPr>
          <w:rFonts w:hAnsi="黑体" w:eastAsia="黑体"/>
          <w:bCs/>
        </w:rPr>
        <w:t>第二章</w:t>
      </w:r>
      <w:r>
        <w:rPr>
          <w:rFonts w:eastAsia="黑体"/>
          <w:bCs/>
        </w:rPr>
        <w:t xml:space="preserve"> </w:t>
      </w:r>
      <w:r>
        <w:rPr>
          <w:rFonts w:hAnsi="黑体" w:eastAsia="黑体"/>
          <w:bCs/>
        </w:rPr>
        <w:t>个人账户计入和管理</w:t>
      </w:r>
    </w:p>
    <w:p>
      <w:pPr>
        <w:spacing w:line="300" w:lineRule="exact"/>
        <w:ind w:firstLine="643" w:firstLineChars="200"/>
        <w:rPr>
          <w:rFonts w:eastAsia="楷体_GB2312"/>
          <w:b/>
          <w:bCs/>
        </w:rPr>
      </w:pPr>
    </w:p>
    <w:p>
      <w:pPr>
        <w:spacing w:line="600" w:lineRule="exact"/>
        <w:ind w:firstLine="643" w:firstLineChars="200"/>
      </w:pPr>
      <w:r>
        <w:rPr>
          <w:rFonts w:hAnsi="楷体_GB2312" w:eastAsia="楷体_GB2312"/>
          <w:b/>
          <w:bCs/>
        </w:rPr>
        <w:t>第五条</w:t>
      </w:r>
      <w:r>
        <w:t xml:space="preserve"> </w:t>
      </w:r>
      <w:r>
        <w:rPr>
          <w:rFonts w:hAnsi="仿宋_GB2312"/>
        </w:rPr>
        <w:t>改革个人账户计入比例和办法。在职职工、灵活就业人员个人账户由个人缴纳的基本医疗保险费计入，计入标准为本人参保缴费基数的</w:t>
      </w:r>
      <w:r>
        <w:t>2%</w:t>
      </w:r>
      <w:r>
        <w:rPr>
          <w:rFonts w:hAnsi="仿宋_GB2312"/>
        </w:rPr>
        <w:t>，单位缴纳的基本医疗保险费全部计入统筹基金；灵活就业人员其</w:t>
      </w:r>
      <w:r>
        <w:t>6.5%</w:t>
      </w:r>
      <w:r>
        <w:rPr>
          <w:rFonts w:hAnsi="仿宋_GB2312"/>
        </w:rPr>
        <w:t>划入统筹基金</w:t>
      </w:r>
      <w:r>
        <w:rPr>
          <w:rFonts w:hint="eastAsia" w:hAnsi="仿宋_GB2312"/>
        </w:rPr>
        <w:t>；</w:t>
      </w:r>
      <w:r>
        <w:rPr>
          <w:rFonts w:hAnsi="仿宋_GB2312"/>
        </w:rPr>
        <w:t>退休职工个人账户按上年度甘南州基本养老金平均水平的</w:t>
      </w:r>
      <w:r>
        <w:t>2%</w:t>
      </w:r>
      <w:r>
        <w:rPr>
          <w:rFonts w:hAnsi="仿宋_GB2312"/>
        </w:rPr>
        <w:t>定额划入，划入标准为每人每月</w:t>
      </w:r>
      <w:r>
        <w:t>120</w:t>
      </w:r>
      <w:r>
        <w:rPr>
          <w:rFonts w:hAnsi="仿宋_GB2312"/>
        </w:rPr>
        <w:t>元；在职转退休职工，从次月起执行个人账户计入比例和办法。</w:t>
      </w:r>
    </w:p>
    <w:p>
      <w:pPr>
        <w:spacing w:line="600" w:lineRule="exact"/>
        <w:ind w:firstLine="643" w:firstLineChars="200"/>
      </w:pPr>
      <w:r>
        <w:rPr>
          <w:rFonts w:hAnsi="楷体_GB2312" w:eastAsia="楷体_GB2312"/>
          <w:b/>
          <w:bCs/>
        </w:rPr>
        <w:t>第六条</w:t>
      </w:r>
      <w:r>
        <w:t xml:space="preserve"> </w:t>
      </w:r>
      <w:r>
        <w:rPr>
          <w:rFonts w:hAnsi="仿宋_GB2312"/>
        </w:rPr>
        <w:t>个人账户使用范围：个人账户主要用于支付参保人员在定点医疗机构或定点零售药店发生的政策范围内自付费用；定点零售药店购药发生的政策范围内自付费用</w:t>
      </w:r>
      <w:r>
        <w:t>;</w:t>
      </w:r>
      <w:r>
        <w:rPr>
          <w:rFonts w:hAnsi="仿宋_GB2312"/>
        </w:rPr>
        <w:t>可以用于支付参保人员本人及其配偶、父母、子女在定点医疗机构门诊、住院就医发生的由个人负担的医疗费用</w:t>
      </w:r>
      <w:r>
        <w:t>;</w:t>
      </w:r>
      <w:r>
        <w:rPr>
          <w:rFonts w:hAnsi="仿宋_GB2312"/>
        </w:rPr>
        <w:t>定点零售药店购买药品、医疗器械、医用耗材发生的由个人负担的费用；待相关条件具备后，个人账户可用于配偶、父母、子女参加城乡居民基本医疗保险等的个人缴费。</w:t>
      </w:r>
    </w:p>
    <w:p>
      <w:pPr>
        <w:spacing w:line="600" w:lineRule="exact"/>
        <w:ind w:firstLine="643" w:firstLineChars="200"/>
      </w:pPr>
      <w:r>
        <w:rPr>
          <w:rFonts w:hAnsi="楷体_GB2312" w:eastAsia="楷体_GB2312"/>
          <w:b/>
          <w:bCs/>
        </w:rPr>
        <w:t>第七条</w:t>
      </w:r>
      <w:r>
        <w:rPr>
          <w:rFonts w:eastAsia="楷体_GB2312"/>
          <w:b/>
          <w:bCs/>
        </w:rPr>
        <w:t xml:space="preserve"> </w:t>
      </w:r>
      <w:r>
        <w:rPr>
          <w:rFonts w:hAnsi="仿宋_GB2312"/>
        </w:rPr>
        <w:t>个人账户不得用于公共卫生费用、体育健身或养生保健消费等不属于基本医疗保障范围的支出。</w:t>
      </w:r>
    </w:p>
    <w:p>
      <w:pPr>
        <w:spacing w:line="600" w:lineRule="exact"/>
        <w:ind w:firstLine="643" w:firstLineChars="200"/>
      </w:pPr>
      <w:r>
        <w:rPr>
          <w:rFonts w:hAnsi="楷体_GB2312" w:eastAsia="楷体_GB2312"/>
          <w:b/>
          <w:bCs/>
        </w:rPr>
        <w:t>第八条</w:t>
      </w:r>
      <w:r>
        <w:t xml:space="preserve"> </w:t>
      </w:r>
      <w:r>
        <w:rPr>
          <w:rFonts w:hAnsi="仿宋_GB2312"/>
        </w:rPr>
        <w:t>有下列情形之一的，个人账户停止划入：在职职工停止缴纳或未按规定缴纳基本医疗保险费的；参保职工（含在职、退休）死亡的。</w:t>
      </w:r>
    </w:p>
    <w:p>
      <w:pPr>
        <w:spacing w:line="600" w:lineRule="exact"/>
        <w:ind w:firstLine="643" w:firstLineChars="200"/>
      </w:pPr>
      <w:r>
        <w:rPr>
          <w:rFonts w:hAnsi="楷体_GB2312" w:eastAsia="楷体_GB2312"/>
          <w:b/>
          <w:bCs/>
        </w:rPr>
        <w:t>第九条</w:t>
      </w:r>
      <w:r>
        <w:t xml:space="preserve"> </w:t>
      </w:r>
      <w:r>
        <w:rPr>
          <w:rFonts w:hAnsi="仿宋_GB2312"/>
        </w:rPr>
        <w:t>改革前个人账户结余仍归参保职工本人所有，可以结转使用和继承。职工跨统筹地区流动时，个人账户基金随同转移。</w:t>
      </w:r>
    </w:p>
    <w:p>
      <w:pPr>
        <w:spacing w:line="600" w:lineRule="exact"/>
        <w:ind w:firstLine="643" w:firstLineChars="200"/>
      </w:pPr>
      <w:r>
        <w:rPr>
          <w:rFonts w:hAnsi="楷体_GB2312" w:eastAsia="楷体_GB2312"/>
          <w:b/>
          <w:bCs/>
        </w:rPr>
        <w:t>第十条</w:t>
      </w:r>
      <w:r>
        <w:t xml:space="preserve"> </w:t>
      </w:r>
      <w:r>
        <w:rPr>
          <w:rFonts w:hAnsi="仿宋_GB2312"/>
        </w:rPr>
        <w:t>异地安置退休人员、异地长期居住人员和常驻异地工作人员居住在未实现门诊异地就医直接结算地区的，经本人申请可将个人账户金额划入本人金融账户。</w:t>
      </w:r>
    </w:p>
    <w:p>
      <w:pPr>
        <w:spacing w:line="600" w:lineRule="exact"/>
        <w:ind w:firstLine="643" w:firstLineChars="200"/>
      </w:pPr>
      <w:r>
        <w:rPr>
          <w:rFonts w:hAnsi="楷体_GB2312" w:eastAsia="楷体_GB2312"/>
          <w:b/>
          <w:bCs/>
        </w:rPr>
        <w:t>第十一条</w:t>
      </w:r>
      <w:r>
        <w:rPr>
          <w:rFonts w:eastAsia="楷体_GB2312"/>
          <w:b/>
          <w:bCs/>
        </w:rPr>
        <w:t xml:space="preserve"> </w:t>
      </w:r>
      <w:r>
        <w:rPr>
          <w:rFonts w:hAnsi="仿宋_GB2312"/>
        </w:rPr>
        <w:t>参保人员终止基本医保关系后，个人账户余额一次性拨至用人单位或个人银行账户</w:t>
      </w:r>
      <w:r>
        <w:t>;</w:t>
      </w:r>
      <w:r>
        <w:rPr>
          <w:rFonts w:hAnsi="仿宋_GB2312"/>
        </w:rPr>
        <w:t>拨至用人单位的，由用人单位负责支付给本人或其合法继承人，不得截留和挪用。参保人因死亡或其他原因终止参保的，所在用人单位应及时为其申报办理终止基本医保关系，未及时申报办理，造成个人账户多划入的部分，经办机构在办理个人账户清户结算时予以扣回，无法扣回的由所在单位负责追回。</w:t>
      </w:r>
    </w:p>
    <w:p>
      <w:pPr>
        <w:spacing w:line="300" w:lineRule="exact"/>
        <w:jc w:val="center"/>
        <w:rPr>
          <w:b/>
          <w:bCs/>
        </w:rPr>
      </w:pPr>
    </w:p>
    <w:p>
      <w:pPr>
        <w:spacing w:line="600" w:lineRule="exact"/>
        <w:jc w:val="center"/>
        <w:rPr>
          <w:rFonts w:eastAsia="黑体"/>
          <w:bCs/>
        </w:rPr>
      </w:pPr>
      <w:r>
        <w:rPr>
          <w:rFonts w:hAnsi="黑体" w:eastAsia="黑体"/>
          <w:bCs/>
        </w:rPr>
        <w:t>第三章</w:t>
      </w:r>
      <w:r>
        <w:rPr>
          <w:rFonts w:eastAsia="黑体"/>
          <w:bCs/>
        </w:rPr>
        <w:t xml:space="preserve"> </w:t>
      </w:r>
      <w:r>
        <w:rPr>
          <w:rFonts w:hAnsi="黑体" w:eastAsia="黑体"/>
          <w:bCs/>
        </w:rPr>
        <w:t>门诊共济保障待遇</w:t>
      </w:r>
    </w:p>
    <w:p>
      <w:pPr>
        <w:spacing w:line="300" w:lineRule="exact"/>
        <w:ind w:firstLine="643" w:firstLineChars="200"/>
        <w:rPr>
          <w:rFonts w:eastAsia="楷体_GB2312"/>
          <w:b/>
          <w:bCs/>
        </w:rPr>
      </w:pPr>
    </w:p>
    <w:p>
      <w:pPr>
        <w:spacing w:line="600" w:lineRule="exact"/>
        <w:ind w:firstLine="643" w:firstLineChars="200"/>
      </w:pPr>
      <w:r>
        <w:rPr>
          <w:rFonts w:hAnsi="楷体_GB2312" w:eastAsia="楷体_GB2312"/>
          <w:b/>
          <w:bCs/>
        </w:rPr>
        <w:t>第十二条</w:t>
      </w:r>
      <w:r>
        <w:t xml:space="preserve"> </w:t>
      </w:r>
      <w:r>
        <w:rPr>
          <w:rFonts w:hAnsi="仿宋_GB2312"/>
        </w:rPr>
        <w:t>调整统筹基金和个人账户结构后，单位缴纳的基本医疗保险费全部计入统筹基金，增强门诊共济保障功能，提高参保人员门诊待遇。</w:t>
      </w:r>
    </w:p>
    <w:p>
      <w:pPr>
        <w:spacing w:line="600" w:lineRule="exact"/>
        <w:ind w:firstLine="643" w:firstLineChars="200"/>
      </w:pPr>
      <w:r>
        <w:rPr>
          <w:rFonts w:hAnsi="楷体_GB2312" w:eastAsia="楷体_GB2312"/>
          <w:b/>
          <w:bCs/>
        </w:rPr>
        <w:t>第十三条</w:t>
      </w:r>
      <w:r>
        <w:t xml:space="preserve"> </w:t>
      </w:r>
      <w:r>
        <w:rPr>
          <w:rFonts w:hAnsi="仿宋_GB2312"/>
        </w:rPr>
        <w:t>建立职工医保普通门诊医疗费用统筹保障机制。在做好高血压、糖尿病等群众负担较重的门诊慢性病、特殊疾病（以下统称门诊慢特病）医疗保障基础上，逐步将多发病、常见病的普通门诊医疗费用纳入统筹基金支付范围。</w:t>
      </w:r>
    </w:p>
    <w:p>
      <w:pPr>
        <w:spacing w:line="600" w:lineRule="exact"/>
        <w:ind w:firstLine="643" w:firstLineChars="200"/>
      </w:pPr>
      <w:r>
        <w:rPr>
          <w:rFonts w:hAnsi="楷体_GB2312" w:eastAsia="楷体_GB2312"/>
          <w:b/>
          <w:bCs/>
        </w:rPr>
        <w:t>第十四条</w:t>
      </w:r>
      <w:r>
        <w:t xml:space="preserve"> </w:t>
      </w:r>
      <w:r>
        <w:rPr>
          <w:rFonts w:hAnsi="仿宋_GB2312"/>
        </w:rPr>
        <w:t>职工门诊统筹层次和基金支付范围，同职工基本医疗保险保持一致，实行州级统筹。</w:t>
      </w:r>
    </w:p>
    <w:p>
      <w:pPr>
        <w:spacing w:line="600" w:lineRule="exact"/>
        <w:ind w:firstLine="643" w:firstLineChars="200"/>
      </w:pPr>
      <w:r>
        <w:rPr>
          <w:rFonts w:hAnsi="楷体_GB2312" w:eastAsia="楷体_GB2312"/>
          <w:b/>
          <w:bCs/>
        </w:rPr>
        <w:t>第十五条</w:t>
      </w:r>
      <w:r>
        <w:rPr>
          <w:rFonts w:eastAsia="楷体_GB2312"/>
          <w:b/>
          <w:bCs/>
        </w:rPr>
        <w:t xml:space="preserve"> </w:t>
      </w:r>
      <w:r>
        <w:rPr>
          <w:rFonts w:hAnsi="仿宋_GB2312"/>
        </w:rPr>
        <w:t>职工在定点医疗机构（急诊、抢救除外）普通门诊发生的，符合三个目录规定的医疗费用，纳入基本医疗保险基金支付范围，乙类按</w:t>
      </w:r>
      <w:r>
        <w:t>5%</w:t>
      </w:r>
      <w:r>
        <w:rPr>
          <w:rFonts w:hAnsi="仿宋_GB2312"/>
        </w:rPr>
        <w:t>先行自付，再按规定比例报销。</w:t>
      </w:r>
    </w:p>
    <w:p>
      <w:pPr>
        <w:spacing w:line="600" w:lineRule="exact"/>
        <w:ind w:firstLine="643" w:firstLineChars="200"/>
      </w:pPr>
      <w:r>
        <w:rPr>
          <w:rFonts w:hAnsi="楷体_GB2312" w:eastAsia="楷体_GB2312"/>
          <w:b/>
          <w:bCs/>
        </w:rPr>
        <w:t>第十六条</w:t>
      </w:r>
      <w:r>
        <w:rPr>
          <w:rFonts w:eastAsia="楷体_GB2312"/>
          <w:b/>
          <w:bCs/>
        </w:rPr>
        <w:t xml:space="preserve"> </w:t>
      </w:r>
      <w:r>
        <w:rPr>
          <w:rFonts w:hAnsi="仿宋_GB2312"/>
        </w:rPr>
        <w:t>参保职工普通门诊就医发生的医疗费用，统筹基金支付设立起付标准、报销比例和年度最高支付限额。一个自然年度内，参保职工在定点医疗机构普通门诊累计发生的起付标准以上、最高支付限额以下政策范围内医疗费用，纳入统筹基金支付范围。起付标准为</w:t>
      </w:r>
      <w:r>
        <w:t>200</w:t>
      </w:r>
      <w:r>
        <w:rPr>
          <w:rFonts w:hAnsi="仿宋_GB2312"/>
        </w:rPr>
        <w:t>元，最高支付限额为</w:t>
      </w:r>
      <w:r>
        <w:t>2500</w:t>
      </w:r>
      <w:r>
        <w:rPr>
          <w:rFonts w:hAnsi="仿宋_GB2312"/>
        </w:rPr>
        <w:t>元。统筹基金按以下标准保障：</w:t>
      </w:r>
    </w:p>
    <w:p>
      <w:pPr>
        <w:spacing w:line="600" w:lineRule="exact"/>
        <w:ind w:firstLine="640" w:firstLineChars="200"/>
      </w:pPr>
      <w:r>
        <w:rPr>
          <w:rFonts w:hAnsi="仿宋_GB2312"/>
        </w:rPr>
        <w:t>在一级及以下定点医疗机构就诊的，在职职工报销比例为</w:t>
      </w:r>
      <w:r>
        <w:t>70%</w:t>
      </w:r>
      <w:r>
        <w:rPr>
          <w:rFonts w:hAnsi="仿宋_GB2312"/>
        </w:rPr>
        <w:t>，退休职工报销比例</w:t>
      </w:r>
      <w:r>
        <w:t>75%</w:t>
      </w:r>
      <w:r>
        <w:rPr>
          <w:rFonts w:hAnsi="仿宋_GB2312"/>
        </w:rPr>
        <w:t>。</w:t>
      </w:r>
    </w:p>
    <w:p>
      <w:pPr>
        <w:spacing w:line="600" w:lineRule="exact"/>
        <w:ind w:firstLine="640" w:firstLineChars="200"/>
      </w:pPr>
      <w:r>
        <w:rPr>
          <w:rFonts w:hAnsi="仿宋_GB2312"/>
        </w:rPr>
        <w:t>在二级定点医疗机构就诊的，在职职工报销比例为</w:t>
      </w:r>
      <w:r>
        <w:t>65%</w:t>
      </w:r>
      <w:r>
        <w:rPr>
          <w:rFonts w:hAnsi="仿宋_GB2312"/>
        </w:rPr>
        <w:t>，退休职工报销比例</w:t>
      </w:r>
      <w:r>
        <w:t>70%</w:t>
      </w:r>
      <w:r>
        <w:rPr>
          <w:rFonts w:hAnsi="仿宋_GB2312"/>
        </w:rPr>
        <w:t>。</w:t>
      </w:r>
    </w:p>
    <w:p>
      <w:pPr>
        <w:spacing w:line="600" w:lineRule="exact"/>
        <w:ind w:firstLine="640" w:firstLineChars="200"/>
      </w:pPr>
      <w:r>
        <w:rPr>
          <w:rFonts w:hAnsi="仿宋_GB2312"/>
        </w:rPr>
        <w:t>在三级定点医疗机构就诊的，在职职工报销比例为</w:t>
      </w:r>
      <w:r>
        <w:t>60%</w:t>
      </w:r>
      <w:r>
        <w:rPr>
          <w:rFonts w:hAnsi="仿宋_GB2312"/>
        </w:rPr>
        <w:t>，退休职工报销比例</w:t>
      </w:r>
      <w:r>
        <w:t>65%</w:t>
      </w:r>
      <w:r>
        <w:rPr>
          <w:rFonts w:hAnsi="仿宋_GB2312"/>
        </w:rPr>
        <w:t>。</w:t>
      </w:r>
    </w:p>
    <w:p>
      <w:pPr>
        <w:spacing w:line="600" w:lineRule="exact"/>
        <w:ind w:firstLine="643" w:firstLineChars="200"/>
      </w:pPr>
      <w:r>
        <w:rPr>
          <w:rFonts w:hAnsi="楷体_GB2312" w:eastAsia="楷体_GB2312"/>
          <w:b/>
          <w:bCs/>
        </w:rPr>
        <w:t>第十七条</w:t>
      </w:r>
      <w:r>
        <w:t xml:space="preserve"> </w:t>
      </w:r>
      <w:r>
        <w:rPr>
          <w:rFonts w:hAnsi="仿宋_GB2312"/>
        </w:rPr>
        <w:t>参保人员已办理门诊慢特病的，优先按照门诊慢特病政策予以保障。超出门诊慢特病年度限额后发生的符合门诊慢特病医疗费用，按照普通门诊待遇政策予以保障。</w:t>
      </w:r>
    </w:p>
    <w:p>
      <w:pPr>
        <w:spacing w:line="600" w:lineRule="exact"/>
        <w:ind w:firstLine="643" w:firstLineChars="200"/>
      </w:pPr>
      <w:r>
        <w:rPr>
          <w:rFonts w:hAnsi="楷体_GB2312" w:eastAsia="楷体_GB2312"/>
          <w:b/>
          <w:bCs/>
        </w:rPr>
        <w:t>第十八条</w:t>
      </w:r>
      <w:r>
        <w:t xml:space="preserve"> </w:t>
      </w:r>
      <w:r>
        <w:rPr>
          <w:rFonts w:hAnsi="仿宋_GB2312"/>
        </w:rPr>
        <w:t>职工医保门诊共济保障统筹基金支付限额仅限当年使用，当年度未使用完的额度不结转、不累加到次年度。</w:t>
      </w:r>
    </w:p>
    <w:p>
      <w:pPr>
        <w:spacing w:line="600" w:lineRule="exact"/>
        <w:ind w:firstLine="643" w:firstLineChars="200"/>
      </w:pPr>
      <w:r>
        <w:rPr>
          <w:rFonts w:hAnsi="楷体_GB2312" w:eastAsia="楷体_GB2312"/>
          <w:b/>
          <w:bCs/>
        </w:rPr>
        <w:t>第十九条</w:t>
      </w:r>
      <w:r>
        <w:t xml:space="preserve"> </w:t>
      </w:r>
      <w:r>
        <w:rPr>
          <w:rFonts w:hAnsi="仿宋_GB2312"/>
        </w:rPr>
        <w:t>在职职工医保关系由在职转为退休时，自业务审核办理后次月起按照本细则第五条规定享受退休职工门诊共济保障待遇。</w:t>
      </w:r>
    </w:p>
    <w:p>
      <w:pPr>
        <w:spacing w:line="300" w:lineRule="exact"/>
        <w:jc w:val="center"/>
        <w:rPr>
          <w:b/>
          <w:bCs/>
        </w:rPr>
      </w:pPr>
    </w:p>
    <w:p>
      <w:pPr>
        <w:spacing w:line="600" w:lineRule="exact"/>
        <w:jc w:val="center"/>
        <w:rPr>
          <w:rFonts w:eastAsia="黑体"/>
          <w:bCs/>
        </w:rPr>
      </w:pPr>
      <w:r>
        <w:rPr>
          <w:rFonts w:hAnsi="黑体" w:eastAsia="黑体"/>
          <w:bCs/>
        </w:rPr>
        <w:t>第四章</w:t>
      </w:r>
      <w:r>
        <w:rPr>
          <w:rFonts w:eastAsia="黑体"/>
          <w:bCs/>
        </w:rPr>
        <w:t xml:space="preserve">  </w:t>
      </w:r>
      <w:r>
        <w:rPr>
          <w:rFonts w:hAnsi="黑体" w:eastAsia="黑体"/>
          <w:bCs/>
        </w:rPr>
        <w:t>服务与结算管理</w:t>
      </w:r>
    </w:p>
    <w:p>
      <w:pPr>
        <w:spacing w:line="300" w:lineRule="exact"/>
        <w:ind w:firstLine="643" w:firstLineChars="200"/>
        <w:rPr>
          <w:rFonts w:eastAsia="楷体_GB2312"/>
          <w:b/>
          <w:bCs/>
        </w:rPr>
      </w:pPr>
    </w:p>
    <w:p>
      <w:pPr>
        <w:spacing w:line="600" w:lineRule="exact"/>
        <w:ind w:firstLine="643" w:firstLineChars="200"/>
      </w:pPr>
      <w:r>
        <w:rPr>
          <w:rFonts w:hAnsi="楷体_GB2312" w:eastAsia="楷体_GB2312"/>
          <w:b/>
          <w:bCs/>
        </w:rPr>
        <w:t>第二十条</w:t>
      </w:r>
      <w:r>
        <w:t xml:space="preserve"> </w:t>
      </w:r>
      <w:r>
        <w:rPr>
          <w:rFonts w:hAnsi="仿宋_GB2312"/>
        </w:rPr>
        <w:t>下列门诊费用不纳入职工医保门诊共济保障支付范围：</w:t>
      </w:r>
    </w:p>
    <w:p>
      <w:pPr>
        <w:spacing w:line="600" w:lineRule="exact"/>
        <w:ind w:firstLine="640" w:firstLineChars="200"/>
      </w:pPr>
      <w:r>
        <w:rPr>
          <w:rFonts w:hAnsi="仿宋_GB2312"/>
          <w:bCs/>
        </w:rPr>
        <w:t>（一）</w:t>
      </w:r>
      <w:r>
        <w:rPr>
          <w:rFonts w:hAnsi="仿宋_GB2312"/>
        </w:rPr>
        <w:t>应从工伤保险基金中支付的；</w:t>
      </w:r>
    </w:p>
    <w:p>
      <w:pPr>
        <w:spacing w:line="600" w:lineRule="exact"/>
        <w:ind w:firstLine="640" w:firstLineChars="200"/>
      </w:pPr>
      <w:r>
        <w:rPr>
          <w:rFonts w:hAnsi="仿宋_GB2312"/>
          <w:bCs/>
        </w:rPr>
        <w:t>（二）</w:t>
      </w:r>
      <w:r>
        <w:rPr>
          <w:rFonts w:hAnsi="仿宋_GB2312"/>
        </w:rPr>
        <w:t>应由第三人负担的；</w:t>
      </w:r>
    </w:p>
    <w:p>
      <w:pPr>
        <w:spacing w:line="600" w:lineRule="exact"/>
        <w:ind w:firstLine="640" w:firstLineChars="200"/>
      </w:pPr>
      <w:r>
        <w:rPr>
          <w:rFonts w:hAnsi="仿宋_GB2312"/>
          <w:bCs/>
        </w:rPr>
        <w:t>（三）</w:t>
      </w:r>
      <w:r>
        <w:rPr>
          <w:rFonts w:hAnsi="仿宋_GB2312"/>
        </w:rPr>
        <w:t>应由公共卫生负担的；</w:t>
      </w:r>
    </w:p>
    <w:p>
      <w:pPr>
        <w:spacing w:line="600" w:lineRule="exact"/>
        <w:ind w:firstLine="640" w:firstLineChars="200"/>
      </w:pPr>
      <w:r>
        <w:rPr>
          <w:rFonts w:hAnsi="仿宋_GB2312"/>
          <w:bCs/>
        </w:rPr>
        <w:t>（四）</w:t>
      </w:r>
      <w:r>
        <w:rPr>
          <w:rFonts w:hAnsi="仿宋_GB2312"/>
        </w:rPr>
        <w:t>在境外就医的；</w:t>
      </w:r>
    </w:p>
    <w:p>
      <w:pPr>
        <w:spacing w:line="600" w:lineRule="exact"/>
        <w:ind w:firstLine="640" w:firstLineChars="200"/>
      </w:pPr>
      <w:r>
        <w:rPr>
          <w:rFonts w:hAnsi="仿宋_GB2312"/>
          <w:bCs/>
        </w:rPr>
        <w:t>（五）</w:t>
      </w:r>
      <w:r>
        <w:rPr>
          <w:rFonts w:hAnsi="仿宋_GB2312"/>
        </w:rPr>
        <w:t>属于体育健身、养生保健消费、健康体检；</w:t>
      </w:r>
    </w:p>
    <w:p>
      <w:pPr>
        <w:spacing w:line="600" w:lineRule="exact"/>
        <w:ind w:firstLine="640" w:firstLineChars="200"/>
      </w:pPr>
      <w:r>
        <w:rPr>
          <w:rFonts w:hAnsi="仿宋_GB2312"/>
          <w:bCs/>
        </w:rPr>
        <w:t>（六）</w:t>
      </w:r>
      <w:r>
        <w:rPr>
          <w:rFonts w:hAnsi="仿宋_GB2312"/>
        </w:rPr>
        <w:t>在职职工停止缴纳或未按规定缴纳基本医疗保险费期间发生的门诊费用；</w:t>
      </w:r>
    </w:p>
    <w:p>
      <w:pPr>
        <w:spacing w:line="600" w:lineRule="exact"/>
        <w:ind w:firstLine="640" w:firstLineChars="200"/>
      </w:pPr>
      <w:r>
        <w:rPr>
          <w:rFonts w:hAnsi="仿宋_GB2312"/>
          <w:bCs/>
        </w:rPr>
        <w:t>（七）</w:t>
      </w:r>
      <w:r>
        <w:rPr>
          <w:rFonts w:hAnsi="仿宋_GB2312"/>
        </w:rPr>
        <w:t>职工住院期间发生的普通门诊医疗费用；</w:t>
      </w:r>
    </w:p>
    <w:p>
      <w:pPr>
        <w:spacing w:line="600" w:lineRule="exact"/>
        <w:ind w:firstLine="640" w:firstLineChars="200"/>
      </w:pPr>
      <w:r>
        <w:rPr>
          <w:rFonts w:hAnsi="仿宋_GB2312"/>
          <w:bCs/>
        </w:rPr>
        <w:t>（八）</w:t>
      </w:r>
      <w:r>
        <w:rPr>
          <w:rFonts w:hAnsi="仿宋_GB2312"/>
        </w:rPr>
        <w:t>在门诊慢特病未达到年度限额时发生的门诊慢特病购药费用；</w:t>
      </w:r>
    </w:p>
    <w:p>
      <w:pPr>
        <w:spacing w:line="600" w:lineRule="exact"/>
        <w:ind w:firstLine="640" w:firstLineChars="200"/>
      </w:pPr>
      <w:r>
        <w:rPr>
          <w:rFonts w:hAnsi="仿宋_GB2312"/>
          <w:bCs/>
        </w:rPr>
        <w:t>（九）</w:t>
      </w:r>
      <w:r>
        <w:rPr>
          <w:rFonts w:hAnsi="仿宋_GB2312"/>
        </w:rPr>
        <w:t>已按孕期检查费待遇支付的门诊医疗费用；</w:t>
      </w:r>
    </w:p>
    <w:p>
      <w:pPr>
        <w:spacing w:line="600" w:lineRule="exact"/>
        <w:ind w:firstLine="640" w:firstLineChars="200"/>
      </w:pPr>
      <w:r>
        <w:rPr>
          <w:rFonts w:hAnsi="仿宋_GB2312"/>
          <w:bCs/>
        </w:rPr>
        <w:t>（十）</w:t>
      </w:r>
      <w:r>
        <w:rPr>
          <w:rFonts w:hAnsi="仿宋_GB2312"/>
        </w:rPr>
        <w:t>应由</w:t>
      </w:r>
      <w:r>
        <w:t>“</w:t>
      </w:r>
      <w:r>
        <w:rPr>
          <w:rFonts w:hAnsi="仿宋_GB2312"/>
        </w:rPr>
        <w:t>国家谈判药品</w:t>
      </w:r>
      <w:r>
        <w:t>”</w:t>
      </w:r>
      <w:r>
        <w:rPr>
          <w:rFonts w:hAnsi="仿宋_GB2312"/>
        </w:rPr>
        <w:t>政策支付的、</w:t>
      </w:r>
      <w:r>
        <w:t>“</w:t>
      </w:r>
      <w:r>
        <w:rPr>
          <w:rFonts w:hAnsi="仿宋_GB2312"/>
        </w:rPr>
        <w:t>日间手术</w:t>
      </w:r>
      <w:r>
        <w:t>”</w:t>
      </w:r>
      <w:r>
        <w:rPr>
          <w:rFonts w:hAnsi="仿宋_GB2312"/>
        </w:rPr>
        <w:t>和</w:t>
      </w:r>
      <w:r>
        <w:t>“</w:t>
      </w:r>
      <w:r>
        <w:rPr>
          <w:rFonts w:hAnsi="仿宋_GB2312"/>
        </w:rPr>
        <w:t>日间诊疗</w:t>
      </w:r>
      <w:r>
        <w:t>”</w:t>
      </w:r>
      <w:r>
        <w:rPr>
          <w:rFonts w:hAnsi="仿宋_GB2312"/>
        </w:rPr>
        <w:t>政策支付的费用；</w:t>
      </w:r>
    </w:p>
    <w:p>
      <w:pPr>
        <w:spacing w:line="600" w:lineRule="exact"/>
        <w:ind w:firstLine="640" w:firstLineChars="200"/>
      </w:pPr>
      <w:r>
        <w:rPr>
          <w:rFonts w:hAnsi="仿宋_GB2312"/>
          <w:bCs/>
        </w:rPr>
        <w:t>（十一）</w:t>
      </w:r>
      <w:r>
        <w:rPr>
          <w:rFonts w:hAnsi="仿宋_GB2312"/>
        </w:rPr>
        <w:t>在享受长期护理保险医疗专护、机构护理（康复中心、护理机构、养老机构）待遇期间发生的普通门诊医疗费用；</w:t>
      </w:r>
    </w:p>
    <w:p>
      <w:pPr>
        <w:spacing w:line="600" w:lineRule="exact"/>
        <w:ind w:firstLine="640" w:firstLineChars="200"/>
      </w:pPr>
      <w:r>
        <w:rPr>
          <w:rFonts w:hAnsi="仿宋_GB2312"/>
          <w:bCs/>
        </w:rPr>
        <w:t>（十二）</w:t>
      </w:r>
      <w:r>
        <w:rPr>
          <w:rFonts w:hAnsi="仿宋_GB2312"/>
        </w:rPr>
        <w:t>国家规定的基本医疗保险基金不予支付的其他费用。</w:t>
      </w:r>
    </w:p>
    <w:p>
      <w:pPr>
        <w:spacing w:line="600" w:lineRule="exact"/>
        <w:ind w:firstLine="643" w:firstLineChars="200"/>
      </w:pPr>
      <w:r>
        <w:rPr>
          <w:rFonts w:hAnsi="楷体_GB2312" w:eastAsia="楷体_GB2312"/>
          <w:b/>
          <w:bCs/>
        </w:rPr>
        <w:t>第二十一条</w:t>
      </w:r>
      <w:r>
        <w:t xml:space="preserve"> </w:t>
      </w:r>
      <w:r>
        <w:rPr>
          <w:rFonts w:hAnsi="仿宋_GB2312"/>
        </w:rPr>
        <w:t>参保人员凭本人的医保电子凭证或社保卡在门诊统筹定点医疗机构发生的政策范围内普通门诊费用，应由个人负担的部分，使用个人账户或现金与定点医疗机构结算；应由统筹基金负担的部分，由定点医疗机构按月与医保经办机构结算。</w:t>
      </w:r>
    </w:p>
    <w:p>
      <w:pPr>
        <w:spacing w:line="600" w:lineRule="exact"/>
        <w:ind w:firstLine="643" w:firstLineChars="200"/>
      </w:pPr>
      <w:r>
        <w:rPr>
          <w:rFonts w:hAnsi="楷体_GB2312" w:eastAsia="楷体_GB2312"/>
          <w:b/>
          <w:bCs/>
        </w:rPr>
        <w:t>第二十二条</w:t>
      </w:r>
      <w:r>
        <w:t xml:space="preserve"> </w:t>
      </w:r>
      <w:r>
        <w:rPr>
          <w:rFonts w:hAnsi="仿宋_GB2312"/>
        </w:rPr>
        <w:t>参保人员在甘南州域外门诊就医时，可在就医地所有开通异地门诊费用直接结算的定点医疗机构，通过医疗保障信息平台直接联网结算。因特殊情况未能实现联网直接结算的，先由个人全额垫付，再到参保地医保经办机构办理手工零星报销。</w:t>
      </w:r>
    </w:p>
    <w:p>
      <w:pPr>
        <w:spacing w:line="600" w:lineRule="exact"/>
        <w:ind w:firstLine="643" w:firstLineChars="200"/>
      </w:pPr>
      <w:r>
        <w:rPr>
          <w:rFonts w:hAnsi="楷体_GB2312" w:eastAsia="楷体_GB2312"/>
          <w:b/>
          <w:bCs/>
        </w:rPr>
        <w:t>第二十三条</w:t>
      </w:r>
      <w:r>
        <w:t xml:space="preserve"> </w:t>
      </w:r>
      <w:r>
        <w:rPr>
          <w:rFonts w:hAnsi="仿宋_GB2312"/>
        </w:rPr>
        <w:t>对职工本人在定点医疗机构门诊所需用药无法满足时，可持外配处方在符合条件的定点零售药店结算和配药，支付比例按照职工门诊就诊三级医疗机构标准，在职职工报销比例为</w:t>
      </w:r>
      <w:r>
        <w:t>60%</w:t>
      </w:r>
      <w:r>
        <w:rPr>
          <w:rFonts w:hAnsi="仿宋_GB2312"/>
        </w:rPr>
        <w:t>，退休职工报销比例</w:t>
      </w:r>
      <w:r>
        <w:t>65%</w:t>
      </w:r>
      <w:r>
        <w:rPr>
          <w:rFonts w:hAnsi="仿宋_GB2312"/>
        </w:rPr>
        <w:t>执行。</w:t>
      </w:r>
    </w:p>
    <w:p>
      <w:pPr>
        <w:spacing w:line="600" w:lineRule="exact"/>
        <w:ind w:firstLine="643" w:firstLineChars="200"/>
      </w:pPr>
      <w:r>
        <w:rPr>
          <w:rFonts w:hAnsi="楷体_GB2312" w:eastAsia="楷体_GB2312"/>
          <w:b/>
          <w:bCs/>
        </w:rPr>
        <w:t>第二十四条</w:t>
      </w:r>
      <w:r>
        <w:t xml:space="preserve"> </w:t>
      </w:r>
      <w:r>
        <w:rPr>
          <w:rFonts w:hAnsi="仿宋_GB2312"/>
        </w:rPr>
        <w:t>职工医保普通门诊统筹实行定点医疗机构协议管理。由医保经办机构与职工普通门诊统筹定点医疗机构签订协议，贯彻落实协商谈判机制。加大药品集中带量采购力度，将优先使用中选药品、医保目录药品（医用耗材）、控制自费比例、严禁诱导院外购药、违规开具大处方等纳入协议管理，严把医疗服务入口关，将</w:t>
      </w:r>
      <w:r>
        <w:t>“</w:t>
      </w:r>
      <w:r>
        <w:rPr>
          <w:rFonts w:hAnsi="仿宋_GB2312"/>
        </w:rPr>
        <w:t>技术好、服务优、价格低、布局合理</w:t>
      </w:r>
      <w:r>
        <w:t>”</w:t>
      </w:r>
      <w:r>
        <w:rPr>
          <w:rFonts w:hAnsi="仿宋_GB2312"/>
        </w:rPr>
        <w:t>作为前置条件，严格评审评估标准，强化协议条款及指标约束作用。相关条件具备后，将符合条件的</w:t>
      </w:r>
      <w:r>
        <w:t>“</w:t>
      </w:r>
      <w:r>
        <w:rPr>
          <w:rFonts w:hAnsi="仿宋_GB2312"/>
        </w:rPr>
        <w:t>互联网</w:t>
      </w:r>
      <w:r>
        <w:t>+”</w:t>
      </w:r>
      <w:r>
        <w:rPr>
          <w:rFonts w:hAnsi="仿宋_GB2312"/>
        </w:rPr>
        <w:t>门诊医疗服务纳入门诊共济保障范围，支付比例按互联网医院依托的实体医疗机构级别执行。实体医疗机构应为医保定点医疗机构。</w:t>
      </w:r>
    </w:p>
    <w:p>
      <w:pPr>
        <w:spacing w:line="300" w:lineRule="exact"/>
        <w:jc w:val="center"/>
        <w:rPr>
          <w:b/>
          <w:bCs/>
        </w:rPr>
      </w:pPr>
    </w:p>
    <w:p>
      <w:pPr>
        <w:spacing w:line="600" w:lineRule="exact"/>
        <w:jc w:val="center"/>
        <w:rPr>
          <w:rFonts w:eastAsia="黑体"/>
          <w:bCs/>
        </w:rPr>
      </w:pPr>
      <w:r>
        <w:rPr>
          <w:rFonts w:hAnsi="黑体" w:eastAsia="黑体"/>
          <w:bCs/>
        </w:rPr>
        <w:t>第五章</w:t>
      </w:r>
      <w:r>
        <w:rPr>
          <w:rFonts w:eastAsia="黑体"/>
          <w:bCs/>
        </w:rPr>
        <w:t xml:space="preserve"> </w:t>
      </w:r>
      <w:r>
        <w:rPr>
          <w:rFonts w:hAnsi="黑体" w:eastAsia="黑体"/>
          <w:bCs/>
        </w:rPr>
        <w:t>监督管理</w:t>
      </w:r>
    </w:p>
    <w:p>
      <w:pPr>
        <w:spacing w:line="300" w:lineRule="exact"/>
        <w:ind w:firstLine="643" w:firstLineChars="200"/>
        <w:rPr>
          <w:rFonts w:eastAsia="楷体_GB2312"/>
          <w:b/>
          <w:bCs/>
        </w:rPr>
      </w:pPr>
    </w:p>
    <w:p>
      <w:pPr>
        <w:spacing w:line="600" w:lineRule="exact"/>
        <w:ind w:firstLine="643" w:firstLineChars="200"/>
      </w:pPr>
      <w:r>
        <w:rPr>
          <w:rFonts w:hAnsi="楷体_GB2312" w:eastAsia="楷体_GB2312"/>
          <w:b/>
          <w:bCs/>
        </w:rPr>
        <w:t>第二十五条</w:t>
      </w:r>
      <w:r>
        <w:t xml:space="preserve"> </w:t>
      </w:r>
      <w:r>
        <w:rPr>
          <w:rFonts w:hAnsi="仿宋_GB2312"/>
        </w:rPr>
        <w:t>加强医保基金预算管理与基金稽核制度、内控制度建设，确保基金稳健运行，充分发挥保障功能。</w:t>
      </w:r>
    </w:p>
    <w:p>
      <w:pPr>
        <w:spacing w:line="600" w:lineRule="exact"/>
        <w:ind w:firstLine="643" w:firstLineChars="200"/>
      </w:pPr>
      <w:r>
        <w:rPr>
          <w:rFonts w:hAnsi="楷体_GB2312" w:eastAsia="楷体_GB2312"/>
          <w:b/>
          <w:bCs/>
        </w:rPr>
        <w:t>第二十六条</w:t>
      </w:r>
      <w:r>
        <w:t xml:space="preserve"> </w:t>
      </w:r>
      <w:r>
        <w:rPr>
          <w:rFonts w:hAnsi="仿宋_GB2312"/>
        </w:rPr>
        <w:t>建立对个人账户和门诊共济保障的全流程动态管理机制，对改革后门诊结算人次增长快、按限额支付占比高等异常情况加强监控。进一步健全医保基金安全防控机制，适应职工医保门诊共济保障机制建设，充分运用智能监控系统、实地稽核、第三方监管等措施，强化对医疗行为和医疗费用监管，严厉打击各类欺诈骗保行为，确保基金安全高效、合理使用。就医地医保部门将异地门诊就医、个人账户使用等同步纳入监管范围。</w:t>
      </w:r>
    </w:p>
    <w:p>
      <w:pPr>
        <w:spacing w:line="600" w:lineRule="exact"/>
        <w:ind w:firstLine="643" w:firstLineChars="200"/>
      </w:pPr>
      <w:r>
        <w:rPr>
          <w:rFonts w:hAnsi="楷体_GB2312" w:eastAsia="楷体_GB2312"/>
          <w:b/>
          <w:bCs/>
        </w:rPr>
        <w:t>第二十七条</w:t>
      </w:r>
      <w:r>
        <w:t xml:space="preserve"> </w:t>
      </w:r>
      <w:r>
        <w:rPr>
          <w:rFonts w:hAnsi="仿宋_GB2312"/>
        </w:rPr>
        <w:t>创新门诊就医服务管理办法，加强定点医疗机构的门诊、住院人次比、大型医疗设备检查率、医保药品配备使用率等指标监测，定期统计、分析与比较，引导定点医疗机构规范提供诊疗服务。</w:t>
      </w:r>
    </w:p>
    <w:p>
      <w:pPr>
        <w:spacing w:line="600" w:lineRule="exact"/>
        <w:ind w:firstLine="643" w:firstLineChars="200"/>
      </w:pPr>
      <w:r>
        <w:rPr>
          <w:rFonts w:hAnsi="楷体_GB2312" w:eastAsia="楷体_GB2312"/>
          <w:b/>
          <w:bCs/>
        </w:rPr>
        <w:t>第二十八条</w:t>
      </w:r>
      <w:r>
        <w:t xml:space="preserve"> </w:t>
      </w:r>
      <w:r>
        <w:rPr>
          <w:rFonts w:hAnsi="仿宋_GB2312"/>
        </w:rPr>
        <w:t>完善与门诊共济保障相适应的付费机制。对门诊医疗服务可按人头付费，积极探索按人头付费与慢性病管理相结合；适时实施门诊</w:t>
      </w:r>
      <w:r>
        <w:t>DIP</w:t>
      </w:r>
      <w:r>
        <w:rPr>
          <w:rFonts w:hAnsi="仿宋_GB2312"/>
        </w:rPr>
        <w:t>支付方式改革；对日间手术及符合条件的门诊特殊病种，推行按病种或按疾病诊断分组付费；对不宜打包付费的门诊费用，可按项目付费。</w:t>
      </w:r>
    </w:p>
    <w:p>
      <w:pPr>
        <w:spacing w:line="600" w:lineRule="exact"/>
        <w:ind w:firstLine="643" w:firstLineChars="200"/>
      </w:pPr>
      <w:r>
        <w:rPr>
          <w:rFonts w:hAnsi="楷体_GB2312" w:eastAsia="楷体_GB2312"/>
          <w:b/>
          <w:bCs/>
        </w:rPr>
        <w:t>第二十九条</w:t>
      </w:r>
      <w:r>
        <w:t xml:space="preserve"> </w:t>
      </w:r>
      <w:r>
        <w:rPr>
          <w:rFonts w:hAnsi="仿宋_GB2312"/>
        </w:rPr>
        <w:t>根据国家及省统一部署，常态化开展药品耗材集中带量采购，降低门诊费用负担。科学合理确定医保药品支付标准，引导定点医疗机构主动使用疗效确切、价格合理的药品。</w:t>
      </w:r>
    </w:p>
    <w:p>
      <w:pPr>
        <w:spacing w:line="600" w:lineRule="exact"/>
        <w:ind w:firstLine="643" w:firstLineChars="200"/>
      </w:pPr>
      <w:r>
        <w:rPr>
          <w:rFonts w:hAnsi="楷体_GB2312" w:eastAsia="楷体_GB2312"/>
          <w:b/>
          <w:bCs/>
        </w:rPr>
        <w:t>第三十条</w:t>
      </w:r>
      <w:r>
        <w:t> </w:t>
      </w:r>
      <w:r>
        <w:rPr>
          <w:rFonts w:hAnsi="仿宋_GB2312"/>
        </w:rPr>
        <w:t>建立医保基金安全防控机制。</w:t>
      </w:r>
    </w:p>
    <w:p>
      <w:pPr>
        <w:spacing w:line="600" w:lineRule="exact"/>
        <w:ind w:firstLine="640" w:firstLineChars="200"/>
      </w:pPr>
      <w:r>
        <w:rPr>
          <w:rFonts w:hAnsi="仿宋_GB2312"/>
          <w:bCs/>
        </w:rPr>
        <w:t>（一）</w:t>
      </w:r>
      <w:r>
        <w:rPr>
          <w:rFonts w:hAnsi="仿宋_GB2312"/>
        </w:rPr>
        <w:t>严格贯彻落实《医疗保障基金使用监督管理条例》，加强对定点机构医疗行为和医疗费用的监管，严把基金运行的安全关，坚持医保基金监管高压态势，实现医保基金全链条、全覆盖、全方位、全过程监管，严厉打击欺诈骗保行为。</w:t>
      </w:r>
    </w:p>
    <w:p>
      <w:pPr>
        <w:spacing w:line="600" w:lineRule="exact"/>
        <w:ind w:firstLine="640" w:firstLineChars="200"/>
      </w:pPr>
      <w:r>
        <w:rPr>
          <w:rFonts w:hAnsi="仿宋_GB2312"/>
          <w:bCs/>
        </w:rPr>
        <w:t>（二）</w:t>
      </w:r>
      <w:r>
        <w:rPr>
          <w:rFonts w:hAnsi="仿宋_GB2312"/>
        </w:rPr>
        <w:t>压实医疗机构服务主体责任、卫生健康部门行业主管责任、医保部门监管责任、市县政府属地责任，落实卫生健康、公安、市场监管、审计等有关部门协同监管责任，严肃查处定点医疗机构、参保人、医保经办机构违法违规行为。重点查处医疗机构冒名顶替、虚构医疗服务、伪造医疗文书或票据，虚记多记药品、医用耗材、诊疗项目费用，</w:t>
      </w:r>
      <w:r>
        <w:t>“</w:t>
      </w:r>
      <w:r>
        <w:rPr>
          <w:rFonts w:hAnsi="仿宋_GB2312"/>
        </w:rPr>
        <w:t>术中加价</w:t>
      </w:r>
      <w:r>
        <w:t>”</w:t>
      </w:r>
      <w:r>
        <w:rPr>
          <w:rFonts w:hAnsi="仿宋_GB2312"/>
        </w:rPr>
        <w:t>、夸大病情或疗效等欺骗、诱使、强迫患者接受诊疗和消费等违法违规行为。严肃查处超疗程、超剂量用药，使用与基本治疗无关药物和不规范使用辅助用药等大处方行为。</w:t>
      </w:r>
    </w:p>
    <w:p>
      <w:pPr>
        <w:spacing w:line="600" w:lineRule="exact"/>
        <w:ind w:firstLine="643" w:firstLineChars="200"/>
      </w:pPr>
      <w:r>
        <w:rPr>
          <w:rFonts w:hAnsi="楷体_GB2312" w:eastAsia="楷体_GB2312"/>
          <w:b/>
          <w:bCs/>
        </w:rPr>
        <w:t>第三十一条</w:t>
      </w:r>
      <w:r>
        <w:t xml:space="preserve">  </w:t>
      </w:r>
      <w:r>
        <w:rPr>
          <w:rFonts w:hAnsi="仿宋_GB2312"/>
        </w:rPr>
        <w:t>加强宣传引导，准确解读政策，大力宣传基本医疗保险共建共享、互助共济的理念，广泛开展对医保经办机构、定点医药机构等政策培训，建立舆情监测和处置机制，积极回应社会关切，营造良好氛围。</w:t>
      </w:r>
    </w:p>
    <w:p>
      <w:pPr>
        <w:spacing w:line="300" w:lineRule="exact"/>
        <w:jc w:val="center"/>
        <w:rPr>
          <w:b/>
          <w:bCs/>
        </w:rPr>
      </w:pPr>
    </w:p>
    <w:p>
      <w:pPr>
        <w:spacing w:line="600" w:lineRule="exact"/>
        <w:jc w:val="center"/>
        <w:rPr>
          <w:rFonts w:eastAsia="黑体"/>
          <w:bCs/>
        </w:rPr>
      </w:pPr>
      <w:r>
        <w:rPr>
          <w:rFonts w:hAnsi="黑体" w:eastAsia="黑体"/>
          <w:bCs/>
        </w:rPr>
        <w:t>第六章</w:t>
      </w:r>
      <w:r>
        <w:rPr>
          <w:rFonts w:eastAsia="黑体"/>
          <w:bCs/>
        </w:rPr>
        <w:t xml:space="preserve">   </w:t>
      </w:r>
      <w:r>
        <w:rPr>
          <w:rFonts w:hAnsi="黑体" w:eastAsia="黑体"/>
          <w:bCs/>
        </w:rPr>
        <w:t>附则</w:t>
      </w:r>
    </w:p>
    <w:p>
      <w:pPr>
        <w:spacing w:line="300" w:lineRule="exact"/>
        <w:ind w:firstLine="643" w:firstLineChars="200"/>
        <w:rPr>
          <w:rFonts w:eastAsia="楷体_GB2312"/>
          <w:b/>
          <w:bCs/>
        </w:rPr>
      </w:pPr>
    </w:p>
    <w:p>
      <w:pPr>
        <w:spacing w:line="600" w:lineRule="exact"/>
        <w:ind w:firstLine="643" w:firstLineChars="200"/>
      </w:pPr>
      <w:r>
        <w:rPr>
          <w:rFonts w:eastAsia="楷体_GB2312"/>
          <w:b/>
          <w:bCs/>
        </w:rPr>
        <w:t>第三十二条</w:t>
      </w:r>
      <w:r>
        <w:t xml:space="preserve"> 本细则涉及的统筹政策、待遇标准根据国家、省上政策规定和基本医保基金运行情况适时调整。</w:t>
      </w:r>
    </w:p>
    <w:p>
      <w:pPr>
        <w:spacing w:line="600" w:lineRule="exact"/>
        <w:ind w:firstLine="643" w:firstLineChars="200"/>
      </w:pPr>
      <w:r>
        <w:rPr>
          <w:rFonts w:eastAsia="楷体_GB2312"/>
          <w:b/>
          <w:bCs/>
        </w:rPr>
        <w:t>第三十三条</w:t>
      </w:r>
      <w:r>
        <w:t xml:space="preserve"> 本细则由州</w:t>
      </w:r>
      <w:r>
        <w:rPr>
          <w:rFonts w:hint="eastAsia"/>
        </w:rPr>
        <w:t>人民政府办公室</w:t>
      </w:r>
      <w:r>
        <w:t>负责解释，自2023年1月1日起执行。原有政策规定与本实施细则不一致的，按本实施细则执行。</w:t>
      </w:r>
    </w:p>
    <w:p>
      <w:pPr>
        <w:pStyle w:val="41"/>
        <w:numPr>
          <w:ilvl w:val="2"/>
          <w:numId w:val="0"/>
        </w:numPr>
        <w:ind w:left="640" w:leftChars="200"/>
        <w:rPr>
          <w:rFonts w:ascii="Times New Roman" w:hAnsi="Times New Roman"/>
        </w:rPr>
      </w:pPr>
    </w:p>
    <w:p>
      <w:pPr>
        <w:spacing w:line="600" w:lineRule="exact"/>
      </w:pPr>
    </w:p>
    <w:p>
      <w:pPr>
        <w:spacing w:line="600" w:lineRule="exact"/>
      </w:pPr>
      <w:r>
        <w:fldChar w:fldCharType="begin"/>
      </w:r>
      <w:r>
        <w:instrText xml:space="preserve"> HYPERLINK "https://xw.qq.com/report/to/20220121A09DC600" </w:instrText>
      </w:r>
      <w:r>
        <w:fldChar w:fldCharType="separate"/>
      </w:r>
      <w:r>
        <w:br w:type="textWrapping"/>
      </w:r>
      <w:r>
        <w:fldChar w:fldCharType="end"/>
      </w:r>
    </w:p>
    <w:p>
      <w:pPr>
        <w:pStyle w:val="41"/>
        <w:numPr>
          <w:ilvl w:val="2"/>
          <w:numId w:val="0"/>
        </w:numPr>
        <w:rPr>
          <w:rFonts w:ascii="Times New Roman" w:hAnsi="Times New Roman"/>
        </w:rPr>
      </w:pPr>
    </w:p>
    <w:p>
      <w:pPr>
        <w:pBdr>
          <w:bottom w:val="single" w:color="auto" w:sz="6" w:space="1"/>
        </w:pBdr>
        <w:spacing w:line="500" w:lineRule="exact"/>
        <w:rPr>
          <w:rFonts w:hint="eastAsia"/>
        </w:rPr>
      </w:pPr>
    </w:p>
    <w:p>
      <w:pPr>
        <w:pBdr>
          <w:bottom w:val="single" w:color="auto" w:sz="6" w:space="1"/>
        </w:pBdr>
        <w:spacing w:line="500" w:lineRule="exact"/>
        <w:rPr>
          <w:rFonts w:hint="eastAsia"/>
        </w:rPr>
      </w:pPr>
    </w:p>
    <w:p>
      <w:pPr>
        <w:pBdr>
          <w:bottom w:val="single" w:color="auto" w:sz="6" w:space="1"/>
        </w:pBdr>
        <w:spacing w:line="500" w:lineRule="exact"/>
      </w:pPr>
    </w:p>
    <w:p>
      <w:pPr>
        <w:pBdr>
          <w:bottom w:val="single" w:color="auto" w:sz="6" w:space="1"/>
        </w:pBdr>
        <w:spacing w:line="500" w:lineRule="exact"/>
      </w:pPr>
    </w:p>
    <w:p>
      <w:pPr>
        <w:pBdr>
          <w:bottom w:val="single" w:color="auto" w:sz="6" w:space="1"/>
        </w:pBdr>
        <w:spacing w:line="500" w:lineRule="exact"/>
      </w:pPr>
    </w:p>
    <w:p>
      <w:pPr>
        <w:pBdr>
          <w:bottom w:val="single" w:color="auto" w:sz="6" w:space="1"/>
        </w:pBdr>
        <w:spacing w:line="500" w:lineRule="exact"/>
      </w:pPr>
    </w:p>
    <w:p>
      <w:pPr>
        <w:pBdr>
          <w:bottom w:val="single" w:color="auto" w:sz="6" w:space="1"/>
        </w:pBdr>
        <w:spacing w:line="500" w:lineRule="exact"/>
      </w:pPr>
    </w:p>
    <w:p>
      <w:pPr>
        <w:pBdr>
          <w:bottom w:val="single" w:color="auto" w:sz="6" w:space="1"/>
        </w:pBdr>
        <w:spacing w:line="500" w:lineRule="exact"/>
      </w:pPr>
    </w:p>
    <w:p>
      <w:pPr>
        <w:pBdr>
          <w:bottom w:val="single" w:color="auto" w:sz="6" w:space="1"/>
        </w:pBdr>
        <w:spacing w:line="420" w:lineRule="exact"/>
      </w:pPr>
    </w:p>
    <w:p>
      <w:pPr>
        <w:spacing w:line="500" w:lineRule="exact"/>
        <w:ind w:firstLine="280" w:firstLineChars="100"/>
        <w:rPr>
          <w:sz w:val="28"/>
          <w:szCs w:val="28"/>
        </w:rPr>
      </w:pPr>
      <w:r>
        <w:rPr>
          <w:sz w:val="28"/>
          <w:szCs w:val="28"/>
        </w:rPr>
        <w:t>抄送：州委办公室，州人大常委会办公室，州政协办公室，州委各部门，</w:t>
      </w:r>
    </w:p>
    <w:p>
      <w:pPr>
        <w:spacing w:line="500" w:lineRule="exact"/>
        <w:ind w:firstLine="1064" w:firstLineChars="380"/>
        <w:rPr>
          <w:sz w:val="28"/>
          <w:szCs w:val="28"/>
        </w:rPr>
      </w:pPr>
      <w:r>
        <w:rPr>
          <w:sz w:val="28"/>
          <w:szCs w:val="28"/>
        </w:rPr>
        <w:t>州法院，州检察院。</w:t>
      </w:r>
    </w:p>
    <w:tbl>
      <w:tblPr>
        <w:tblStyle w:val="1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60" w:type="dxa"/>
            <w:tcBorders>
              <w:top w:val="single" w:color="auto" w:sz="4" w:space="0"/>
              <w:left w:val="nil"/>
              <w:bottom w:val="single" w:color="auto" w:sz="4" w:space="0"/>
              <w:right w:val="nil"/>
            </w:tcBorders>
            <w:noWrap w:val="0"/>
            <w:vAlign w:val="top"/>
          </w:tcPr>
          <w:p>
            <w:pPr>
              <w:spacing w:line="500" w:lineRule="exact"/>
              <w:ind w:firstLine="280" w:firstLineChars="100"/>
              <w:rPr>
                <w:sz w:val="28"/>
                <w:szCs w:val="28"/>
              </w:rPr>
            </w:pPr>
            <w:r>
              <w:rPr>
                <w:sz w:val="28"/>
                <w:szCs w:val="28"/>
              </w:rPr>
              <w:t>甘南州人民政府办公室                    2022年8月23日印发</w:t>
            </w:r>
          </w:p>
        </w:tc>
      </w:tr>
    </w:tbl>
    <w:p>
      <w:pPr>
        <w:spacing w:line="500" w:lineRule="exact"/>
        <w:ind w:firstLine="7140" w:firstLineChars="2550"/>
        <w:rPr>
          <w:sz w:val="28"/>
          <w:szCs w:val="28"/>
        </w:rPr>
      </w:pPr>
      <w:r>
        <w:rPr>
          <w:sz w:val="28"/>
          <w:szCs w:val="28"/>
        </w:rPr>
        <mc:AlternateContent>
          <mc:Choice Requires="wps">
            <w:drawing>
              <wp:anchor distT="0" distB="0" distL="114300" distR="114300" simplePos="0" relativeHeight="251658240" behindDoc="1" locked="0" layoutInCell="1" allowOverlap="1">
                <wp:simplePos x="0" y="0"/>
                <wp:positionH relativeFrom="column">
                  <wp:posOffset>3754755</wp:posOffset>
                </wp:positionH>
                <wp:positionV relativeFrom="paragraph">
                  <wp:posOffset>264795</wp:posOffset>
                </wp:positionV>
                <wp:extent cx="2006600" cy="688340"/>
                <wp:effectExtent l="0" t="0" r="0" b="0"/>
                <wp:wrapNone/>
                <wp:docPr id="1" name="文本框 253"/>
                <wp:cNvGraphicFramePr/>
                <a:graphic xmlns:a="http://schemas.openxmlformats.org/drawingml/2006/main">
                  <a:graphicData uri="http://schemas.microsoft.com/office/word/2010/wordprocessingShape">
                    <wps:wsp>
                      <wps:cNvSpPr txBox="1"/>
                      <wps:spPr>
                        <a:xfrm>
                          <a:off x="0" y="0"/>
                          <a:ext cx="2006600" cy="688340"/>
                        </a:xfrm>
                        <a:prstGeom prst="rect">
                          <a:avLst/>
                        </a:prstGeom>
                        <a:noFill/>
                        <a:ln>
                          <a:noFill/>
                        </a:ln>
                      </wps:spPr>
                      <wps:txbx>
                        <w:txbxContent>
                          <w:p>
                            <w:r>
                              <w:rPr>
                                <w:rFonts w:eastAsia="宋体"/>
                                <w:kern w:val="0"/>
                                <w:sz w:val="20"/>
                                <w:szCs w:val="20"/>
                              </w:rPr>
                              <w:drawing>
                                <wp:inline distT="0" distB="0" distL="114300" distR="114300">
                                  <wp:extent cx="1849120" cy="551180"/>
                                  <wp:effectExtent l="0" t="0" r="17780" b="1270"/>
                                  <wp:docPr id="2" name="图片 1" descr="labelocx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abelocxtemp"/>
                                          <pic:cNvPicPr>
                                            <a:picLocks noChangeAspect="1"/>
                                          </pic:cNvPicPr>
                                        </pic:nvPicPr>
                                        <pic:blipFill>
                                          <a:blip r:embed="rId6"/>
                                          <a:stretch>
                                            <a:fillRect/>
                                          </a:stretch>
                                        </pic:blipFill>
                                        <pic:spPr>
                                          <a:xfrm>
                                            <a:off x="0" y="0"/>
                                            <a:ext cx="1849120" cy="551180"/>
                                          </a:xfrm>
                                          <a:prstGeom prst="rect">
                                            <a:avLst/>
                                          </a:prstGeom>
                                          <a:noFill/>
                                          <a:ln>
                                            <a:noFill/>
                                          </a:ln>
                                        </pic:spPr>
                                      </pic:pic>
                                    </a:graphicData>
                                  </a:graphic>
                                </wp:inline>
                              </w:drawing>
                            </w:r>
                          </w:p>
                        </w:txbxContent>
                      </wps:txbx>
                      <wps:bodyPr wrap="square" lIns="90043" tIns="46863" rIns="90043" bIns="46863" upright="1">
                        <a:spAutoFit/>
                      </wps:bodyPr>
                    </wps:wsp>
                  </a:graphicData>
                </a:graphic>
              </wp:anchor>
            </w:drawing>
          </mc:Choice>
          <mc:Fallback>
            <w:pict>
              <v:shape id="文本框 253" o:spid="_x0000_s1026" o:spt="202" type="#_x0000_t202" style="position:absolute;left:0pt;margin-left:295.65pt;margin-top:20.85pt;height:54.2pt;width:158pt;z-index:-251658240;mso-width-relative:page;mso-height-relative:page;" filled="f" stroked="f" coordsize="21600,21600" o:gfxdata="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SyuO9cAAAAKAQAADwAAAAAAAAAB&#10;ACAAAAAiAAAAZHJzL2Rvd25yZXYueG1sUEsBAhQAFAAAAAgAh07iQEsbgI7YAQAArAMAAA4AAAAA&#10;AAAAAQAgAAAAJgEAAGRycy9lMm9Eb2MueG1sUEsFBgAAAAAGAAYAWQEAAHAFAAAAAA==&#10;">
                <v:fill on="f" focussize="0,0"/>
                <v:stroke on="f"/>
                <v:imagedata o:title=""/>
                <o:lock v:ext="edit" aspectratio="f"/>
                <v:textbox inset="7.09pt,1.30175mm,7.09pt,1.30175mm" style="mso-fit-shape-to-text:t;">
                  <w:txbxContent>
                    <w:p>
                      <w:r>
                        <w:rPr>
                          <w:rFonts w:eastAsia="宋体"/>
                          <w:kern w:val="0"/>
                          <w:sz w:val="20"/>
                          <w:szCs w:val="20"/>
                        </w:rPr>
                        <w:drawing>
                          <wp:inline distT="0" distB="0" distL="114300" distR="114300">
                            <wp:extent cx="1849120" cy="551180"/>
                            <wp:effectExtent l="0" t="0" r="17780" b="1270"/>
                            <wp:docPr id="2" name="图片 1" descr="labelocx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abelocxtemp"/>
                                    <pic:cNvPicPr>
                                      <a:picLocks noChangeAspect="1"/>
                                    </pic:cNvPicPr>
                                  </pic:nvPicPr>
                                  <pic:blipFill>
                                    <a:blip r:embed="rId6"/>
                                    <a:stretch>
                                      <a:fillRect/>
                                    </a:stretch>
                                  </pic:blipFill>
                                  <pic:spPr>
                                    <a:xfrm>
                                      <a:off x="0" y="0"/>
                                      <a:ext cx="1849120" cy="551180"/>
                                    </a:xfrm>
                                    <a:prstGeom prst="rect">
                                      <a:avLst/>
                                    </a:prstGeom>
                                    <a:noFill/>
                                    <a:ln>
                                      <a:noFill/>
                                    </a:ln>
                                  </pic:spPr>
                                </pic:pic>
                              </a:graphicData>
                            </a:graphic>
                          </wp:inline>
                        </w:drawing>
                      </w:r>
                    </w:p>
                  </w:txbxContent>
                </v:textbox>
              </v:shape>
            </w:pict>
          </mc:Fallback>
        </mc:AlternateContent>
      </w:r>
      <w:r>
        <w:rPr>
          <w:sz w:val="28"/>
          <w:szCs w:val="28"/>
        </w:rPr>
        <w:t>共印</w:t>
      </w:r>
      <w:r>
        <w:rPr>
          <w:rFonts w:hint="eastAsia"/>
          <w:sz w:val="28"/>
          <w:szCs w:val="28"/>
        </w:rPr>
        <w:t>124</w:t>
      </w:r>
      <w:r>
        <w:rPr>
          <w:sz w:val="28"/>
          <w:szCs w:val="28"/>
        </w:rPr>
        <w:t>份</w:t>
      </w:r>
    </w:p>
    <w:sectPr>
      <w:footerReference r:id="rId3" w:type="default"/>
      <w:footerReference r:id="rId4" w:type="even"/>
      <w:pgSz w:w="11906" w:h="16838"/>
      <w:pgMar w:top="1701" w:right="1531" w:bottom="1701" w:left="1531"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ight="320" w:rightChars="100"/>
      <w:rPr>
        <w:rStyle w:val="21"/>
        <w:rFonts w:hint="eastAsia" w:ascii="宋体" w:hAnsi="宋体" w:eastAsia="宋体"/>
        <w:sz w:val="28"/>
        <w:szCs w:val="28"/>
      </w:rPr>
    </w:pPr>
    <w:r>
      <w:rPr>
        <w:rStyle w:val="21"/>
        <w:rFonts w:hint="eastAsia" w:ascii="宋体" w:hAnsi="宋体" w:eastAsia="宋体"/>
        <w:sz w:val="28"/>
        <w:szCs w:val="28"/>
      </w:rPr>
      <w:t>—</w:t>
    </w:r>
    <w:r>
      <w:rPr>
        <w:rStyle w:val="21"/>
        <w:rFonts w:ascii="宋体" w:hAnsi="宋体" w:eastAsia="宋体"/>
        <w:sz w:val="28"/>
        <w:szCs w:val="28"/>
      </w:rPr>
      <w:fldChar w:fldCharType="begin"/>
    </w:r>
    <w:r>
      <w:rPr>
        <w:rStyle w:val="21"/>
        <w:rFonts w:ascii="宋体" w:hAnsi="宋体" w:eastAsia="宋体"/>
        <w:sz w:val="28"/>
        <w:szCs w:val="28"/>
      </w:rPr>
      <w:instrText xml:space="preserve">PAGE  </w:instrText>
    </w:r>
    <w:r>
      <w:rPr>
        <w:rStyle w:val="21"/>
        <w:rFonts w:ascii="宋体" w:hAnsi="宋体" w:eastAsia="宋体"/>
        <w:sz w:val="28"/>
        <w:szCs w:val="28"/>
      </w:rPr>
      <w:fldChar w:fldCharType="separate"/>
    </w:r>
    <w:r>
      <w:rPr>
        <w:rStyle w:val="21"/>
        <w:rFonts w:ascii="宋体" w:hAnsi="宋体" w:eastAsia="宋体"/>
        <w:sz w:val="28"/>
        <w:szCs w:val="28"/>
        <w:lang/>
      </w:rPr>
      <w:t>9</w:t>
    </w:r>
    <w:r>
      <w:rPr>
        <w:rStyle w:val="21"/>
        <w:rFonts w:ascii="宋体" w:hAnsi="宋体" w:eastAsia="宋体"/>
        <w:sz w:val="28"/>
        <w:szCs w:val="28"/>
      </w:rPr>
      <w:fldChar w:fldCharType="end"/>
    </w:r>
    <w:r>
      <w:rPr>
        <w:rStyle w:val="21"/>
        <w:rFonts w:hint="eastAsia" w:ascii="宋体" w:hAnsi="宋体" w:eastAsia="宋体"/>
        <w:sz w:val="28"/>
        <w:szCs w:val="28"/>
      </w:rPr>
      <w:t>—</w:t>
    </w:r>
  </w:p>
  <w:p>
    <w:pPr>
      <w:pStyle w:val="10"/>
      <w:ind w:right="45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ight="320" w:rightChars="100"/>
      <w:rPr>
        <w:rStyle w:val="21"/>
        <w:rFonts w:hint="eastAsia" w:ascii="宋体" w:hAnsi="宋体" w:eastAsia="宋体"/>
        <w:sz w:val="28"/>
        <w:szCs w:val="28"/>
      </w:rPr>
    </w:pPr>
    <w:r>
      <w:rPr>
        <w:rStyle w:val="21"/>
        <w:rFonts w:hint="eastAsia" w:ascii="宋体" w:hAnsi="宋体" w:eastAsia="宋体"/>
        <w:sz w:val="28"/>
        <w:szCs w:val="28"/>
      </w:rPr>
      <w:t>—</w:t>
    </w:r>
    <w:r>
      <w:rPr>
        <w:rStyle w:val="21"/>
        <w:rFonts w:ascii="宋体" w:hAnsi="宋体" w:eastAsia="宋体"/>
        <w:sz w:val="28"/>
        <w:szCs w:val="28"/>
      </w:rPr>
      <w:fldChar w:fldCharType="begin"/>
    </w:r>
    <w:r>
      <w:rPr>
        <w:rStyle w:val="21"/>
        <w:rFonts w:ascii="宋体" w:hAnsi="宋体" w:eastAsia="宋体"/>
        <w:sz w:val="28"/>
        <w:szCs w:val="28"/>
      </w:rPr>
      <w:instrText xml:space="preserve">PAGE  </w:instrText>
    </w:r>
    <w:r>
      <w:rPr>
        <w:rStyle w:val="21"/>
        <w:rFonts w:ascii="宋体" w:hAnsi="宋体" w:eastAsia="宋体"/>
        <w:sz w:val="28"/>
        <w:szCs w:val="28"/>
      </w:rPr>
      <w:fldChar w:fldCharType="separate"/>
    </w:r>
    <w:r>
      <w:rPr>
        <w:rStyle w:val="21"/>
        <w:rFonts w:ascii="宋体" w:hAnsi="宋体" w:eastAsia="宋体"/>
        <w:sz w:val="28"/>
        <w:szCs w:val="28"/>
        <w:lang/>
      </w:rPr>
      <w:t>10</w:t>
    </w:r>
    <w:r>
      <w:rPr>
        <w:rStyle w:val="21"/>
        <w:rFonts w:ascii="宋体" w:hAnsi="宋体" w:eastAsia="宋体"/>
        <w:sz w:val="28"/>
        <w:szCs w:val="28"/>
      </w:rPr>
      <w:fldChar w:fldCharType="end"/>
    </w:r>
    <w:r>
      <w:rPr>
        <w:rStyle w:val="21"/>
        <w:rFonts w:hint="eastAsia" w:ascii="宋体" w:hAnsi="宋体" w:eastAsia="宋体"/>
        <w:sz w:val="28"/>
        <w:szCs w:val="28"/>
      </w:rPr>
      <w:t>—</w:t>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C778B"/>
    <w:multiLevelType w:val="multilevel"/>
    <w:tmpl w:val="264C778B"/>
    <w:lvl w:ilvl="0" w:tentative="0">
      <w:start w:val="1"/>
      <w:numFmt w:val="japaneseCounting"/>
      <w:lvlText w:val="%1、"/>
      <w:lvlJc w:val="left"/>
      <w:pPr>
        <w:tabs>
          <w:tab w:val="left" w:pos="1374"/>
        </w:tabs>
        <w:ind w:left="1374" w:hanging="720"/>
      </w:pPr>
      <w:rPr>
        <w:rFonts w:hint="default"/>
      </w:rPr>
    </w:lvl>
    <w:lvl w:ilvl="1" w:tentative="0">
      <w:start w:val="1"/>
      <w:numFmt w:val="lowerLetter"/>
      <w:lvlText w:val="%2)"/>
      <w:lvlJc w:val="left"/>
      <w:pPr>
        <w:tabs>
          <w:tab w:val="left" w:pos="1494"/>
        </w:tabs>
        <w:ind w:left="1494" w:hanging="420"/>
      </w:pPr>
    </w:lvl>
    <w:lvl w:ilvl="2" w:tentative="0">
      <w:start w:val="1"/>
      <w:numFmt w:val="lowerRoman"/>
      <w:pStyle w:val="41"/>
      <w:lvlText w:val="%3."/>
      <w:lvlJc w:val="right"/>
      <w:pPr>
        <w:tabs>
          <w:tab w:val="left" w:pos="1914"/>
        </w:tabs>
        <w:ind w:left="1914" w:hanging="420"/>
      </w:pPr>
    </w:lvl>
    <w:lvl w:ilvl="3" w:tentative="0">
      <w:start w:val="1"/>
      <w:numFmt w:val="decimal"/>
      <w:lvlText w:val="%4."/>
      <w:lvlJc w:val="left"/>
      <w:pPr>
        <w:tabs>
          <w:tab w:val="left" w:pos="2334"/>
        </w:tabs>
        <w:ind w:left="2334" w:hanging="420"/>
      </w:pPr>
    </w:lvl>
    <w:lvl w:ilvl="4" w:tentative="0">
      <w:start w:val="1"/>
      <w:numFmt w:val="lowerLetter"/>
      <w:lvlText w:val="%5)"/>
      <w:lvlJc w:val="left"/>
      <w:pPr>
        <w:tabs>
          <w:tab w:val="left" w:pos="2754"/>
        </w:tabs>
        <w:ind w:left="2754" w:hanging="420"/>
      </w:pPr>
    </w:lvl>
    <w:lvl w:ilvl="5" w:tentative="0">
      <w:start w:val="1"/>
      <w:numFmt w:val="lowerRoman"/>
      <w:lvlText w:val="%6."/>
      <w:lvlJc w:val="right"/>
      <w:pPr>
        <w:tabs>
          <w:tab w:val="left" w:pos="3174"/>
        </w:tabs>
        <w:ind w:left="3174" w:hanging="420"/>
      </w:pPr>
    </w:lvl>
    <w:lvl w:ilvl="6" w:tentative="0">
      <w:start w:val="1"/>
      <w:numFmt w:val="decimal"/>
      <w:lvlText w:val="%7."/>
      <w:lvlJc w:val="left"/>
      <w:pPr>
        <w:tabs>
          <w:tab w:val="left" w:pos="3594"/>
        </w:tabs>
        <w:ind w:left="3594" w:hanging="420"/>
      </w:pPr>
    </w:lvl>
    <w:lvl w:ilvl="7" w:tentative="0">
      <w:start w:val="1"/>
      <w:numFmt w:val="lowerLetter"/>
      <w:lvlText w:val="%8)"/>
      <w:lvlJc w:val="left"/>
      <w:pPr>
        <w:tabs>
          <w:tab w:val="left" w:pos="4014"/>
        </w:tabs>
        <w:ind w:left="4014" w:hanging="420"/>
      </w:pPr>
    </w:lvl>
    <w:lvl w:ilvl="8" w:tentative="0">
      <w:start w:val="1"/>
      <w:numFmt w:val="lowerRoman"/>
      <w:lvlText w:val="%9."/>
      <w:lvlJc w:val="right"/>
      <w:pPr>
        <w:tabs>
          <w:tab w:val="left" w:pos="4434"/>
        </w:tabs>
        <w:ind w:left="443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3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995"/>
    <w:rsid w:val="00002D7A"/>
    <w:rsid w:val="000039B5"/>
    <w:rsid w:val="00003B1F"/>
    <w:rsid w:val="00004BF1"/>
    <w:rsid w:val="0000762C"/>
    <w:rsid w:val="0001041B"/>
    <w:rsid w:val="00010664"/>
    <w:rsid w:val="00013A60"/>
    <w:rsid w:val="00014BBA"/>
    <w:rsid w:val="00017905"/>
    <w:rsid w:val="00020C29"/>
    <w:rsid w:val="00020E21"/>
    <w:rsid w:val="0002119A"/>
    <w:rsid w:val="000268B6"/>
    <w:rsid w:val="000279A8"/>
    <w:rsid w:val="00027A4E"/>
    <w:rsid w:val="00027EF1"/>
    <w:rsid w:val="00031AB1"/>
    <w:rsid w:val="00031EFE"/>
    <w:rsid w:val="000322B3"/>
    <w:rsid w:val="00033A4A"/>
    <w:rsid w:val="000341EE"/>
    <w:rsid w:val="00034811"/>
    <w:rsid w:val="000358F8"/>
    <w:rsid w:val="00036319"/>
    <w:rsid w:val="00040B94"/>
    <w:rsid w:val="0004133E"/>
    <w:rsid w:val="000458C9"/>
    <w:rsid w:val="00052FCD"/>
    <w:rsid w:val="0005345B"/>
    <w:rsid w:val="0005400B"/>
    <w:rsid w:val="00055DEE"/>
    <w:rsid w:val="00056FE3"/>
    <w:rsid w:val="00057129"/>
    <w:rsid w:val="0005756E"/>
    <w:rsid w:val="00057ACF"/>
    <w:rsid w:val="000618F4"/>
    <w:rsid w:val="0006245D"/>
    <w:rsid w:val="0006346A"/>
    <w:rsid w:val="000634EC"/>
    <w:rsid w:val="000641B9"/>
    <w:rsid w:val="00066BE8"/>
    <w:rsid w:val="00073F01"/>
    <w:rsid w:val="00076954"/>
    <w:rsid w:val="00077858"/>
    <w:rsid w:val="000779EB"/>
    <w:rsid w:val="0008063B"/>
    <w:rsid w:val="00080795"/>
    <w:rsid w:val="000808FF"/>
    <w:rsid w:val="00080BE5"/>
    <w:rsid w:val="00082202"/>
    <w:rsid w:val="000828F4"/>
    <w:rsid w:val="0008295B"/>
    <w:rsid w:val="000838B2"/>
    <w:rsid w:val="0008691D"/>
    <w:rsid w:val="00091B76"/>
    <w:rsid w:val="000921AA"/>
    <w:rsid w:val="0009302B"/>
    <w:rsid w:val="0009368A"/>
    <w:rsid w:val="00094157"/>
    <w:rsid w:val="000954A7"/>
    <w:rsid w:val="00095A49"/>
    <w:rsid w:val="000962A9"/>
    <w:rsid w:val="00096756"/>
    <w:rsid w:val="0009728B"/>
    <w:rsid w:val="000973FF"/>
    <w:rsid w:val="000A152E"/>
    <w:rsid w:val="000A41FE"/>
    <w:rsid w:val="000A486D"/>
    <w:rsid w:val="000A5F14"/>
    <w:rsid w:val="000A6660"/>
    <w:rsid w:val="000A7CDC"/>
    <w:rsid w:val="000B2867"/>
    <w:rsid w:val="000B2E82"/>
    <w:rsid w:val="000B3812"/>
    <w:rsid w:val="000B461B"/>
    <w:rsid w:val="000B56C1"/>
    <w:rsid w:val="000B59BE"/>
    <w:rsid w:val="000B5CB9"/>
    <w:rsid w:val="000B65A5"/>
    <w:rsid w:val="000B7C45"/>
    <w:rsid w:val="000C04F7"/>
    <w:rsid w:val="000C0662"/>
    <w:rsid w:val="000C088C"/>
    <w:rsid w:val="000C1174"/>
    <w:rsid w:val="000C1BD7"/>
    <w:rsid w:val="000C1D38"/>
    <w:rsid w:val="000C31A9"/>
    <w:rsid w:val="000C3FC7"/>
    <w:rsid w:val="000C5D3F"/>
    <w:rsid w:val="000C5E5B"/>
    <w:rsid w:val="000C61D1"/>
    <w:rsid w:val="000C73CF"/>
    <w:rsid w:val="000D0008"/>
    <w:rsid w:val="000D1390"/>
    <w:rsid w:val="000D50AE"/>
    <w:rsid w:val="000D7B5D"/>
    <w:rsid w:val="000E04AA"/>
    <w:rsid w:val="000E2EB5"/>
    <w:rsid w:val="000F1A63"/>
    <w:rsid w:val="000F39DE"/>
    <w:rsid w:val="000F494C"/>
    <w:rsid w:val="000F7F62"/>
    <w:rsid w:val="00100AF2"/>
    <w:rsid w:val="001045DA"/>
    <w:rsid w:val="00104949"/>
    <w:rsid w:val="00110323"/>
    <w:rsid w:val="001108C2"/>
    <w:rsid w:val="00111E1B"/>
    <w:rsid w:val="001161B2"/>
    <w:rsid w:val="0012014C"/>
    <w:rsid w:val="001224F8"/>
    <w:rsid w:val="00123A25"/>
    <w:rsid w:val="00124ABD"/>
    <w:rsid w:val="00127894"/>
    <w:rsid w:val="001306A4"/>
    <w:rsid w:val="00134249"/>
    <w:rsid w:val="001346AB"/>
    <w:rsid w:val="0013553B"/>
    <w:rsid w:val="00136EA6"/>
    <w:rsid w:val="00137969"/>
    <w:rsid w:val="00140845"/>
    <w:rsid w:val="0014237A"/>
    <w:rsid w:val="00143FDF"/>
    <w:rsid w:val="0014492A"/>
    <w:rsid w:val="00144F31"/>
    <w:rsid w:val="00151110"/>
    <w:rsid w:val="001522BF"/>
    <w:rsid w:val="001561BD"/>
    <w:rsid w:val="001578EA"/>
    <w:rsid w:val="00157BD4"/>
    <w:rsid w:val="00162F97"/>
    <w:rsid w:val="00165920"/>
    <w:rsid w:val="00166BE9"/>
    <w:rsid w:val="00166D50"/>
    <w:rsid w:val="00170248"/>
    <w:rsid w:val="00171472"/>
    <w:rsid w:val="00172D0D"/>
    <w:rsid w:val="00173736"/>
    <w:rsid w:val="00174B01"/>
    <w:rsid w:val="0017582A"/>
    <w:rsid w:val="00175D1E"/>
    <w:rsid w:val="001772D4"/>
    <w:rsid w:val="00177B9D"/>
    <w:rsid w:val="001803E3"/>
    <w:rsid w:val="00181B06"/>
    <w:rsid w:val="00182E1C"/>
    <w:rsid w:val="00185015"/>
    <w:rsid w:val="001858FA"/>
    <w:rsid w:val="001858FF"/>
    <w:rsid w:val="00186A46"/>
    <w:rsid w:val="00190364"/>
    <w:rsid w:val="00191BC1"/>
    <w:rsid w:val="00194D65"/>
    <w:rsid w:val="001955AA"/>
    <w:rsid w:val="00196DBB"/>
    <w:rsid w:val="001973B4"/>
    <w:rsid w:val="001A4355"/>
    <w:rsid w:val="001A4AA0"/>
    <w:rsid w:val="001A6560"/>
    <w:rsid w:val="001A6E57"/>
    <w:rsid w:val="001A6F5F"/>
    <w:rsid w:val="001B01CC"/>
    <w:rsid w:val="001B412F"/>
    <w:rsid w:val="001B578B"/>
    <w:rsid w:val="001B5C4D"/>
    <w:rsid w:val="001B5E8B"/>
    <w:rsid w:val="001B615B"/>
    <w:rsid w:val="001B746C"/>
    <w:rsid w:val="001B7C0E"/>
    <w:rsid w:val="001C21B2"/>
    <w:rsid w:val="001C3233"/>
    <w:rsid w:val="001C339C"/>
    <w:rsid w:val="001C350B"/>
    <w:rsid w:val="001C3F86"/>
    <w:rsid w:val="001C4778"/>
    <w:rsid w:val="001C5512"/>
    <w:rsid w:val="001C67A3"/>
    <w:rsid w:val="001C6B40"/>
    <w:rsid w:val="001C7744"/>
    <w:rsid w:val="001C7B2D"/>
    <w:rsid w:val="001D1C6A"/>
    <w:rsid w:val="001D1F65"/>
    <w:rsid w:val="001D237A"/>
    <w:rsid w:val="001D25B7"/>
    <w:rsid w:val="001D3026"/>
    <w:rsid w:val="001D3DAC"/>
    <w:rsid w:val="001D59D8"/>
    <w:rsid w:val="001E1155"/>
    <w:rsid w:val="001E1FC6"/>
    <w:rsid w:val="001E44CA"/>
    <w:rsid w:val="001E5194"/>
    <w:rsid w:val="001E5D57"/>
    <w:rsid w:val="001E69B5"/>
    <w:rsid w:val="001F041A"/>
    <w:rsid w:val="001F10C5"/>
    <w:rsid w:val="001F1D85"/>
    <w:rsid w:val="001F2638"/>
    <w:rsid w:val="001F3F37"/>
    <w:rsid w:val="001F5332"/>
    <w:rsid w:val="001F5E7D"/>
    <w:rsid w:val="001F6C53"/>
    <w:rsid w:val="001F797A"/>
    <w:rsid w:val="00200F81"/>
    <w:rsid w:val="00201430"/>
    <w:rsid w:val="00201F6A"/>
    <w:rsid w:val="00203A28"/>
    <w:rsid w:val="00204A58"/>
    <w:rsid w:val="002057B2"/>
    <w:rsid w:val="00205F8C"/>
    <w:rsid w:val="0020616E"/>
    <w:rsid w:val="00206896"/>
    <w:rsid w:val="00207D7B"/>
    <w:rsid w:val="00214ED9"/>
    <w:rsid w:val="00216842"/>
    <w:rsid w:val="00220602"/>
    <w:rsid w:val="0022319F"/>
    <w:rsid w:val="0022332F"/>
    <w:rsid w:val="00233357"/>
    <w:rsid w:val="0023542D"/>
    <w:rsid w:val="002356EB"/>
    <w:rsid w:val="00240689"/>
    <w:rsid w:val="00240AAE"/>
    <w:rsid w:val="002420ED"/>
    <w:rsid w:val="0024649D"/>
    <w:rsid w:val="002469EE"/>
    <w:rsid w:val="002474AF"/>
    <w:rsid w:val="00247A7D"/>
    <w:rsid w:val="002501C7"/>
    <w:rsid w:val="002516B3"/>
    <w:rsid w:val="00251A68"/>
    <w:rsid w:val="00252746"/>
    <w:rsid w:val="002536BC"/>
    <w:rsid w:val="00256D24"/>
    <w:rsid w:val="00257D4D"/>
    <w:rsid w:val="00260962"/>
    <w:rsid w:val="002612AC"/>
    <w:rsid w:val="002624CF"/>
    <w:rsid w:val="00266E3E"/>
    <w:rsid w:val="00267BAC"/>
    <w:rsid w:val="00273379"/>
    <w:rsid w:val="0027605A"/>
    <w:rsid w:val="00276599"/>
    <w:rsid w:val="00276EBA"/>
    <w:rsid w:val="002804F4"/>
    <w:rsid w:val="00281C1E"/>
    <w:rsid w:val="00283747"/>
    <w:rsid w:val="00283AB0"/>
    <w:rsid w:val="00285687"/>
    <w:rsid w:val="002867E1"/>
    <w:rsid w:val="00286ECD"/>
    <w:rsid w:val="00290ABA"/>
    <w:rsid w:val="00291899"/>
    <w:rsid w:val="00293D38"/>
    <w:rsid w:val="002958CF"/>
    <w:rsid w:val="00296D3C"/>
    <w:rsid w:val="00297CA6"/>
    <w:rsid w:val="00297D6D"/>
    <w:rsid w:val="002A11F6"/>
    <w:rsid w:val="002A19A5"/>
    <w:rsid w:val="002A3D46"/>
    <w:rsid w:val="002A79DB"/>
    <w:rsid w:val="002B1965"/>
    <w:rsid w:val="002B2851"/>
    <w:rsid w:val="002B2F28"/>
    <w:rsid w:val="002B379A"/>
    <w:rsid w:val="002B3811"/>
    <w:rsid w:val="002B3823"/>
    <w:rsid w:val="002B390C"/>
    <w:rsid w:val="002B4F32"/>
    <w:rsid w:val="002B69B2"/>
    <w:rsid w:val="002B7097"/>
    <w:rsid w:val="002B7915"/>
    <w:rsid w:val="002C4051"/>
    <w:rsid w:val="002C42E6"/>
    <w:rsid w:val="002C4643"/>
    <w:rsid w:val="002C486F"/>
    <w:rsid w:val="002C5CA5"/>
    <w:rsid w:val="002C5CFD"/>
    <w:rsid w:val="002C694D"/>
    <w:rsid w:val="002D08D2"/>
    <w:rsid w:val="002D2285"/>
    <w:rsid w:val="002D278C"/>
    <w:rsid w:val="002D6D4F"/>
    <w:rsid w:val="002D7B5C"/>
    <w:rsid w:val="002E0BCB"/>
    <w:rsid w:val="002E0CB9"/>
    <w:rsid w:val="002E0F69"/>
    <w:rsid w:val="002E1BC2"/>
    <w:rsid w:val="002E2A77"/>
    <w:rsid w:val="002E4593"/>
    <w:rsid w:val="002E47A7"/>
    <w:rsid w:val="002E6340"/>
    <w:rsid w:val="002E6EAA"/>
    <w:rsid w:val="002F002D"/>
    <w:rsid w:val="002F3C56"/>
    <w:rsid w:val="002F4384"/>
    <w:rsid w:val="002F4BAD"/>
    <w:rsid w:val="002F5974"/>
    <w:rsid w:val="003000CB"/>
    <w:rsid w:val="00301D52"/>
    <w:rsid w:val="003023E8"/>
    <w:rsid w:val="003035DF"/>
    <w:rsid w:val="00304653"/>
    <w:rsid w:val="0030514E"/>
    <w:rsid w:val="003131AC"/>
    <w:rsid w:val="0031386F"/>
    <w:rsid w:val="00315DEF"/>
    <w:rsid w:val="0032138F"/>
    <w:rsid w:val="00321977"/>
    <w:rsid w:val="003219A5"/>
    <w:rsid w:val="00322F1E"/>
    <w:rsid w:val="003242CE"/>
    <w:rsid w:val="00324F17"/>
    <w:rsid w:val="00325B9D"/>
    <w:rsid w:val="00325C11"/>
    <w:rsid w:val="00325DAB"/>
    <w:rsid w:val="00326318"/>
    <w:rsid w:val="00326AA3"/>
    <w:rsid w:val="00327AF8"/>
    <w:rsid w:val="00331FC4"/>
    <w:rsid w:val="00333D35"/>
    <w:rsid w:val="00334D40"/>
    <w:rsid w:val="00336ADF"/>
    <w:rsid w:val="00340E43"/>
    <w:rsid w:val="00340F56"/>
    <w:rsid w:val="00341C2D"/>
    <w:rsid w:val="003422A2"/>
    <w:rsid w:val="0034247D"/>
    <w:rsid w:val="00343F97"/>
    <w:rsid w:val="003447B9"/>
    <w:rsid w:val="00345D26"/>
    <w:rsid w:val="00345D8C"/>
    <w:rsid w:val="00346921"/>
    <w:rsid w:val="003474E1"/>
    <w:rsid w:val="00352141"/>
    <w:rsid w:val="00353CBE"/>
    <w:rsid w:val="003556E3"/>
    <w:rsid w:val="00356833"/>
    <w:rsid w:val="0035707D"/>
    <w:rsid w:val="00360094"/>
    <w:rsid w:val="00362822"/>
    <w:rsid w:val="00363773"/>
    <w:rsid w:val="0036499E"/>
    <w:rsid w:val="00375F07"/>
    <w:rsid w:val="00375F80"/>
    <w:rsid w:val="0038039E"/>
    <w:rsid w:val="00381A88"/>
    <w:rsid w:val="00381B57"/>
    <w:rsid w:val="00382DBD"/>
    <w:rsid w:val="00383E9A"/>
    <w:rsid w:val="00384D95"/>
    <w:rsid w:val="0038576B"/>
    <w:rsid w:val="00385DA3"/>
    <w:rsid w:val="00392089"/>
    <w:rsid w:val="00393F66"/>
    <w:rsid w:val="003948E9"/>
    <w:rsid w:val="00395382"/>
    <w:rsid w:val="00395BFB"/>
    <w:rsid w:val="0039654E"/>
    <w:rsid w:val="0039667F"/>
    <w:rsid w:val="00396FAA"/>
    <w:rsid w:val="003975EB"/>
    <w:rsid w:val="003A0C34"/>
    <w:rsid w:val="003A42D7"/>
    <w:rsid w:val="003A43E4"/>
    <w:rsid w:val="003A52FF"/>
    <w:rsid w:val="003A7F0B"/>
    <w:rsid w:val="003B0CDC"/>
    <w:rsid w:val="003B0E1E"/>
    <w:rsid w:val="003B45C1"/>
    <w:rsid w:val="003B52A7"/>
    <w:rsid w:val="003B69C8"/>
    <w:rsid w:val="003B76CD"/>
    <w:rsid w:val="003C0AEE"/>
    <w:rsid w:val="003C1390"/>
    <w:rsid w:val="003C26AB"/>
    <w:rsid w:val="003C35F4"/>
    <w:rsid w:val="003C5041"/>
    <w:rsid w:val="003C5562"/>
    <w:rsid w:val="003C59E2"/>
    <w:rsid w:val="003C65D1"/>
    <w:rsid w:val="003C776E"/>
    <w:rsid w:val="003D1A7B"/>
    <w:rsid w:val="003D1B80"/>
    <w:rsid w:val="003D2B5C"/>
    <w:rsid w:val="003D2CD5"/>
    <w:rsid w:val="003D4B6D"/>
    <w:rsid w:val="003D54F6"/>
    <w:rsid w:val="003D6E92"/>
    <w:rsid w:val="003D7924"/>
    <w:rsid w:val="003E01DC"/>
    <w:rsid w:val="003E0A6F"/>
    <w:rsid w:val="003E2105"/>
    <w:rsid w:val="003E2FFB"/>
    <w:rsid w:val="003E455F"/>
    <w:rsid w:val="003E5884"/>
    <w:rsid w:val="003E5DEB"/>
    <w:rsid w:val="003E61AC"/>
    <w:rsid w:val="003F0C96"/>
    <w:rsid w:val="003F3DCC"/>
    <w:rsid w:val="003F6D32"/>
    <w:rsid w:val="003F7799"/>
    <w:rsid w:val="00402AAC"/>
    <w:rsid w:val="00402DF9"/>
    <w:rsid w:val="004030FF"/>
    <w:rsid w:val="0040330F"/>
    <w:rsid w:val="0040598E"/>
    <w:rsid w:val="00406AAA"/>
    <w:rsid w:val="00407732"/>
    <w:rsid w:val="00411890"/>
    <w:rsid w:val="004124CA"/>
    <w:rsid w:val="00413512"/>
    <w:rsid w:val="004139B8"/>
    <w:rsid w:val="004152E7"/>
    <w:rsid w:val="004178D2"/>
    <w:rsid w:val="00420DFF"/>
    <w:rsid w:val="0042661F"/>
    <w:rsid w:val="00430A8B"/>
    <w:rsid w:val="0043317D"/>
    <w:rsid w:val="00434FB3"/>
    <w:rsid w:val="00443BE8"/>
    <w:rsid w:val="004444E5"/>
    <w:rsid w:val="0045010C"/>
    <w:rsid w:val="00452871"/>
    <w:rsid w:val="00453030"/>
    <w:rsid w:val="00453BAC"/>
    <w:rsid w:val="0045415D"/>
    <w:rsid w:val="00454465"/>
    <w:rsid w:val="0045471B"/>
    <w:rsid w:val="00455FCB"/>
    <w:rsid w:val="004563B3"/>
    <w:rsid w:val="00457A35"/>
    <w:rsid w:val="00460173"/>
    <w:rsid w:val="004601B2"/>
    <w:rsid w:val="004602DC"/>
    <w:rsid w:val="00461CB5"/>
    <w:rsid w:val="004620B5"/>
    <w:rsid w:val="004626B4"/>
    <w:rsid w:val="00462966"/>
    <w:rsid w:val="004644C5"/>
    <w:rsid w:val="00465F0F"/>
    <w:rsid w:val="00466D52"/>
    <w:rsid w:val="00467A34"/>
    <w:rsid w:val="0047036F"/>
    <w:rsid w:val="00470C19"/>
    <w:rsid w:val="00472044"/>
    <w:rsid w:val="004724B0"/>
    <w:rsid w:val="004725A0"/>
    <w:rsid w:val="00472EB4"/>
    <w:rsid w:val="004735AD"/>
    <w:rsid w:val="00474DFF"/>
    <w:rsid w:val="00476D8B"/>
    <w:rsid w:val="004772E9"/>
    <w:rsid w:val="004773FC"/>
    <w:rsid w:val="00481CA1"/>
    <w:rsid w:val="00484543"/>
    <w:rsid w:val="00485665"/>
    <w:rsid w:val="00487613"/>
    <w:rsid w:val="004907B8"/>
    <w:rsid w:val="00491857"/>
    <w:rsid w:val="00492FF5"/>
    <w:rsid w:val="004946BA"/>
    <w:rsid w:val="0049484F"/>
    <w:rsid w:val="004977DE"/>
    <w:rsid w:val="004A16FC"/>
    <w:rsid w:val="004A41D5"/>
    <w:rsid w:val="004A501F"/>
    <w:rsid w:val="004A54B7"/>
    <w:rsid w:val="004B00D6"/>
    <w:rsid w:val="004B42F1"/>
    <w:rsid w:val="004B45A5"/>
    <w:rsid w:val="004B75FD"/>
    <w:rsid w:val="004C0174"/>
    <w:rsid w:val="004C0843"/>
    <w:rsid w:val="004C1FE3"/>
    <w:rsid w:val="004C3DF8"/>
    <w:rsid w:val="004C4499"/>
    <w:rsid w:val="004C4AB6"/>
    <w:rsid w:val="004C576D"/>
    <w:rsid w:val="004D2803"/>
    <w:rsid w:val="004D66BD"/>
    <w:rsid w:val="004D6A95"/>
    <w:rsid w:val="004D6E38"/>
    <w:rsid w:val="004E010F"/>
    <w:rsid w:val="004E04B2"/>
    <w:rsid w:val="004E11DE"/>
    <w:rsid w:val="004E2D48"/>
    <w:rsid w:val="004E3648"/>
    <w:rsid w:val="004E3E97"/>
    <w:rsid w:val="004E5251"/>
    <w:rsid w:val="004E60D3"/>
    <w:rsid w:val="004E69A3"/>
    <w:rsid w:val="004E734E"/>
    <w:rsid w:val="004F2242"/>
    <w:rsid w:val="004F240C"/>
    <w:rsid w:val="004F32AA"/>
    <w:rsid w:val="004F6E89"/>
    <w:rsid w:val="004F70D7"/>
    <w:rsid w:val="004F71B5"/>
    <w:rsid w:val="004F7D53"/>
    <w:rsid w:val="00500139"/>
    <w:rsid w:val="00503A88"/>
    <w:rsid w:val="00503D50"/>
    <w:rsid w:val="00504088"/>
    <w:rsid w:val="00505AF9"/>
    <w:rsid w:val="00505C41"/>
    <w:rsid w:val="00506A96"/>
    <w:rsid w:val="00510890"/>
    <w:rsid w:val="005114BE"/>
    <w:rsid w:val="00511A1A"/>
    <w:rsid w:val="00511D8C"/>
    <w:rsid w:val="0051209C"/>
    <w:rsid w:val="0051244C"/>
    <w:rsid w:val="00512C0B"/>
    <w:rsid w:val="005151C7"/>
    <w:rsid w:val="00515442"/>
    <w:rsid w:val="005156A0"/>
    <w:rsid w:val="005158E6"/>
    <w:rsid w:val="00515FC5"/>
    <w:rsid w:val="00520297"/>
    <w:rsid w:val="00530D24"/>
    <w:rsid w:val="0053693C"/>
    <w:rsid w:val="00540975"/>
    <w:rsid w:val="00540CD2"/>
    <w:rsid w:val="00541710"/>
    <w:rsid w:val="005423A0"/>
    <w:rsid w:val="00542E72"/>
    <w:rsid w:val="0054642F"/>
    <w:rsid w:val="00550875"/>
    <w:rsid w:val="005509BE"/>
    <w:rsid w:val="0055195C"/>
    <w:rsid w:val="005532F0"/>
    <w:rsid w:val="00554DDE"/>
    <w:rsid w:val="00555F9B"/>
    <w:rsid w:val="0055608C"/>
    <w:rsid w:val="0055618A"/>
    <w:rsid w:val="00556384"/>
    <w:rsid w:val="005574DD"/>
    <w:rsid w:val="00557673"/>
    <w:rsid w:val="00560649"/>
    <w:rsid w:val="005619D1"/>
    <w:rsid w:val="00561D60"/>
    <w:rsid w:val="00562CF1"/>
    <w:rsid w:val="00563342"/>
    <w:rsid w:val="0056747B"/>
    <w:rsid w:val="00567C50"/>
    <w:rsid w:val="0057085E"/>
    <w:rsid w:val="00571AAB"/>
    <w:rsid w:val="00573B7C"/>
    <w:rsid w:val="005754FE"/>
    <w:rsid w:val="005758B5"/>
    <w:rsid w:val="00576FA0"/>
    <w:rsid w:val="005803E2"/>
    <w:rsid w:val="005816DC"/>
    <w:rsid w:val="005817E1"/>
    <w:rsid w:val="005818D9"/>
    <w:rsid w:val="00581BEA"/>
    <w:rsid w:val="0058213C"/>
    <w:rsid w:val="005830A7"/>
    <w:rsid w:val="0058532F"/>
    <w:rsid w:val="00585649"/>
    <w:rsid w:val="0058630C"/>
    <w:rsid w:val="005868DA"/>
    <w:rsid w:val="005902AF"/>
    <w:rsid w:val="005907A7"/>
    <w:rsid w:val="00590CED"/>
    <w:rsid w:val="005916A5"/>
    <w:rsid w:val="00592D59"/>
    <w:rsid w:val="005943C7"/>
    <w:rsid w:val="0059696C"/>
    <w:rsid w:val="00597C87"/>
    <w:rsid w:val="005A12BE"/>
    <w:rsid w:val="005A252C"/>
    <w:rsid w:val="005A306A"/>
    <w:rsid w:val="005A426A"/>
    <w:rsid w:val="005A44BA"/>
    <w:rsid w:val="005A56EB"/>
    <w:rsid w:val="005A5883"/>
    <w:rsid w:val="005A7F76"/>
    <w:rsid w:val="005B1586"/>
    <w:rsid w:val="005B5AD3"/>
    <w:rsid w:val="005B5AEE"/>
    <w:rsid w:val="005B690D"/>
    <w:rsid w:val="005C11F3"/>
    <w:rsid w:val="005C14F0"/>
    <w:rsid w:val="005C5402"/>
    <w:rsid w:val="005C58BA"/>
    <w:rsid w:val="005C6BF4"/>
    <w:rsid w:val="005C73B9"/>
    <w:rsid w:val="005D0806"/>
    <w:rsid w:val="005D3FBE"/>
    <w:rsid w:val="005D427A"/>
    <w:rsid w:val="005D5C3A"/>
    <w:rsid w:val="005D74BE"/>
    <w:rsid w:val="005E0ADD"/>
    <w:rsid w:val="005E0B08"/>
    <w:rsid w:val="005E2380"/>
    <w:rsid w:val="005E3241"/>
    <w:rsid w:val="005E3D3B"/>
    <w:rsid w:val="005E47DF"/>
    <w:rsid w:val="005E4D16"/>
    <w:rsid w:val="005E5D3C"/>
    <w:rsid w:val="005E622E"/>
    <w:rsid w:val="005E74D6"/>
    <w:rsid w:val="005F0086"/>
    <w:rsid w:val="005F107C"/>
    <w:rsid w:val="005F3A22"/>
    <w:rsid w:val="005F53A6"/>
    <w:rsid w:val="005F574D"/>
    <w:rsid w:val="005F6284"/>
    <w:rsid w:val="005F6D7D"/>
    <w:rsid w:val="006000D4"/>
    <w:rsid w:val="00600D8E"/>
    <w:rsid w:val="00601AA5"/>
    <w:rsid w:val="006033CB"/>
    <w:rsid w:val="00604238"/>
    <w:rsid w:val="00604619"/>
    <w:rsid w:val="006064B8"/>
    <w:rsid w:val="006070CA"/>
    <w:rsid w:val="00611763"/>
    <w:rsid w:val="006162D3"/>
    <w:rsid w:val="00617B24"/>
    <w:rsid w:val="006202D6"/>
    <w:rsid w:val="00620326"/>
    <w:rsid w:val="00620B86"/>
    <w:rsid w:val="00620BE6"/>
    <w:rsid w:val="0062268E"/>
    <w:rsid w:val="00624610"/>
    <w:rsid w:val="006247FF"/>
    <w:rsid w:val="00625401"/>
    <w:rsid w:val="0063039F"/>
    <w:rsid w:val="00630D1F"/>
    <w:rsid w:val="00631D25"/>
    <w:rsid w:val="00632514"/>
    <w:rsid w:val="00632F79"/>
    <w:rsid w:val="00633C66"/>
    <w:rsid w:val="00636A49"/>
    <w:rsid w:val="00636B79"/>
    <w:rsid w:val="0063708F"/>
    <w:rsid w:val="006413A4"/>
    <w:rsid w:val="00642535"/>
    <w:rsid w:val="006426DC"/>
    <w:rsid w:val="006428D7"/>
    <w:rsid w:val="00642A1D"/>
    <w:rsid w:val="0064494F"/>
    <w:rsid w:val="006457A6"/>
    <w:rsid w:val="006471F3"/>
    <w:rsid w:val="006530BA"/>
    <w:rsid w:val="00653F48"/>
    <w:rsid w:val="00654B28"/>
    <w:rsid w:val="00655559"/>
    <w:rsid w:val="00655E96"/>
    <w:rsid w:val="0065686B"/>
    <w:rsid w:val="0065706E"/>
    <w:rsid w:val="00657230"/>
    <w:rsid w:val="006576C6"/>
    <w:rsid w:val="00657F2A"/>
    <w:rsid w:val="006653D4"/>
    <w:rsid w:val="00666351"/>
    <w:rsid w:val="0066730B"/>
    <w:rsid w:val="00667EA0"/>
    <w:rsid w:val="00670CD2"/>
    <w:rsid w:val="006710A4"/>
    <w:rsid w:val="00671902"/>
    <w:rsid w:val="00673324"/>
    <w:rsid w:val="0067717A"/>
    <w:rsid w:val="006828AF"/>
    <w:rsid w:val="00682BD7"/>
    <w:rsid w:val="00682D4B"/>
    <w:rsid w:val="00684AED"/>
    <w:rsid w:val="00685BD2"/>
    <w:rsid w:val="00686CE5"/>
    <w:rsid w:val="0068716F"/>
    <w:rsid w:val="00690459"/>
    <w:rsid w:val="0069055B"/>
    <w:rsid w:val="00691B00"/>
    <w:rsid w:val="00691E92"/>
    <w:rsid w:val="00692655"/>
    <w:rsid w:val="00693759"/>
    <w:rsid w:val="0069397A"/>
    <w:rsid w:val="00694BAF"/>
    <w:rsid w:val="006975BF"/>
    <w:rsid w:val="00697F5C"/>
    <w:rsid w:val="006A0543"/>
    <w:rsid w:val="006A2363"/>
    <w:rsid w:val="006A274D"/>
    <w:rsid w:val="006A2D03"/>
    <w:rsid w:val="006A516D"/>
    <w:rsid w:val="006A7CD6"/>
    <w:rsid w:val="006B00B5"/>
    <w:rsid w:val="006B0BA0"/>
    <w:rsid w:val="006B1B9B"/>
    <w:rsid w:val="006B254E"/>
    <w:rsid w:val="006B4426"/>
    <w:rsid w:val="006B5603"/>
    <w:rsid w:val="006B6058"/>
    <w:rsid w:val="006B6322"/>
    <w:rsid w:val="006B7917"/>
    <w:rsid w:val="006C06D7"/>
    <w:rsid w:val="006C0E54"/>
    <w:rsid w:val="006C14AF"/>
    <w:rsid w:val="006C2E30"/>
    <w:rsid w:val="006C2EB0"/>
    <w:rsid w:val="006C2ED8"/>
    <w:rsid w:val="006C4E95"/>
    <w:rsid w:val="006C71D4"/>
    <w:rsid w:val="006C739B"/>
    <w:rsid w:val="006C7D4B"/>
    <w:rsid w:val="006C7F13"/>
    <w:rsid w:val="006D0506"/>
    <w:rsid w:val="006D167A"/>
    <w:rsid w:val="006D50A7"/>
    <w:rsid w:val="006D5F9B"/>
    <w:rsid w:val="006D6AD2"/>
    <w:rsid w:val="006D7F0D"/>
    <w:rsid w:val="006E2BD2"/>
    <w:rsid w:val="006E2D5A"/>
    <w:rsid w:val="006E32AE"/>
    <w:rsid w:val="006E4142"/>
    <w:rsid w:val="006E430A"/>
    <w:rsid w:val="006E66A7"/>
    <w:rsid w:val="006E6EC6"/>
    <w:rsid w:val="006E7607"/>
    <w:rsid w:val="006E7DE2"/>
    <w:rsid w:val="006F0ADD"/>
    <w:rsid w:val="006F0E5F"/>
    <w:rsid w:val="006F2DFF"/>
    <w:rsid w:val="006F2E72"/>
    <w:rsid w:val="006F33BC"/>
    <w:rsid w:val="006F5A10"/>
    <w:rsid w:val="006F6FDF"/>
    <w:rsid w:val="00700135"/>
    <w:rsid w:val="00700729"/>
    <w:rsid w:val="00700E2F"/>
    <w:rsid w:val="00703773"/>
    <w:rsid w:val="007039DD"/>
    <w:rsid w:val="00703AF2"/>
    <w:rsid w:val="007049A8"/>
    <w:rsid w:val="00704A17"/>
    <w:rsid w:val="00704EED"/>
    <w:rsid w:val="007057FE"/>
    <w:rsid w:val="00705A8F"/>
    <w:rsid w:val="00706D22"/>
    <w:rsid w:val="007105D0"/>
    <w:rsid w:val="007159E5"/>
    <w:rsid w:val="0071640E"/>
    <w:rsid w:val="00720260"/>
    <w:rsid w:val="00721FBA"/>
    <w:rsid w:val="0072362E"/>
    <w:rsid w:val="00723B1A"/>
    <w:rsid w:val="00724E9F"/>
    <w:rsid w:val="0072693C"/>
    <w:rsid w:val="00730CA7"/>
    <w:rsid w:val="00732AB2"/>
    <w:rsid w:val="0073502B"/>
    <w:rsid w:val="007360A9"/>
    <w:rsid w:val="0073736A"/>
    <w:rsid w:val="00740173"/>
    <w:rsid w:val="007418C3"/>
    <w:rsid w:val="00741C54"/>
    <w:rsid w:val="00743230"/>
    <w:rsid w:val="007432DE"/>
    <w:rsid w:val="007442AE"/>
    <w:rsid w:val="00744B98"/>
    <w:rsid w:val="00747471"/>
    <w:rsid w:val="007477BB"/>
    <w:rsid w:val="00752AE0"/>
    <w:rsid w:val="007536A9"/>
    <w:rsid w:val="007567AA"/>
    <w:rsid w:val="007573C5"/>
    <w:rsid w:val="00760330"/>
    <w:rsid w:val="00761109"/>
    <w:rsid w:val="007642A4"/>
    <w:rsid w:val="007643A8"/>
    <w:rsid w:val="00764DCB"/>
    <w:rsid w:val="007650C9"/>
    <w:rsid w:val="00765728"/>
    <w:rsid w:val="00765D96"/>
    <w:rsid w:val="007672EC"/>
    <w:rsid w:val="007673FD"/>
    <w:rsid w:val="00772B4C"/>
    <w:rsid w:val="0077535B"/>
    <w:rsid w:val="007805AC"/>
    <w:rsid w:val="00781EB7"/>
    <w:rsid w:val="00782CDB"/>
    <w:rsid w:val="00784D0E"/>
    <w:rsid w:val="007850EC"/>
    <w:rsid w:val="0078564D"/>
    <w:rsid w:val="0078757B"/>
    <w:rsid w:val="00787D7C"/>
    <w:rsid w:val="00790D36"/>
    <w:rsid w:val="007928B6"/>
    <w:rsid w:val="00792933"/>
    <w:rsid w:val="00793460"/>
    <w:rsid w:val="00794605"/>
    <w:rsid w:val="00796B8C"/>
    <w:rsid w:val="007A1057"/>
    <w:rsid w:val="007A1337"/>
    <w:rsid w:val="007A2563"/>
    <w:rsid w:val="007A33E4"/>
    <w:rsid w:val="007A415D"/>
    <w:rsid w:val="007A4877"/>
    <w:rsid w:val="007A5845"/>
    <w:rsid w:val="007A72EB"/>
    <w:rsid w:val="007A7657"/>
    <w:rsid w:val="007B05A0"/>
    <w:rsid w:val="007B0C63"/>
    <w:rsid w:val="007B2512"/>
    <w:rsid w:val="007B310D"/>
    <w:rsid w:val="007B3900"/>
    <w:rsid w:val="007B3AB1"/>
    <w:rsid w:val="007B5439"/>
    <w:rsid w:val="007B6185"/>
    <w:rsid w:val="007B619B"/>
    <w:rsid w:val="007C1904"/>
    <w:rsid w:val="007C19A6"/>
    <w:rsid w:val="007C3A0C"/>
    <w:rsid w:val="007C5856"/>
    <w:rsid w:val="007C67A0"/>
    <w:rsid w:val="007D3977"/>
    <w:rsid w:val="007D491F"/>
    <w:rsid w:val="007D5A61"/>
    <w:rsid w:val="007D6885"/>
    <w:rsid w:val="007E20B2"/>
    <w:rsid w:val="007E3704"/>
    <w:rsid w:val="007E3889"/>
    <w:rsid w:val="007E3D92"/>
    <w:rsid w:val="007E4753"/>
    <w:rsid w:val="007E4B4B"/>
    <w:rsid w:val="007E628C"/>
    <w:rsid w:val="007E6DCE"/>
    <w:rsid w:val="007E6E1C"/>
    <w:rsid w:val="007F09C3"/>
    <w:rsid w:val="007F234B"/>
    <w:rsid w:val="007F3B26"/>
    <w:rsid w:val="007F4151"/>
    <w:rsid w:val="007F6B7E"/>
    <w:rsid w:val="007F6F0D"/>
    <w:rsid w:val="007F7B1B"/>
    <w:rsid w:val="00800EF9"/>
    <w:rsid w:val="0080182F"/>
    <w:rsid w:val="008020AE"/>
    <w:rsid w:val="008028F0"/>
    <w:rsid w:val="00802995"/>
    <w:rsid w:val="00803ABA"/>
    <w:rsid w:val="00803D45"/>
    <w:rsid w:val="00804878"/>
    <w:rsid w:val="00804C3B"/>
    <w:rsid w:val="00804C73"/>
    <w:rsid w:val="0080511C"/>
    <w:rsid w:val="0080561D"/>
    <w:rsid w:val="00805A16"/>
    <w:rsid w:val="00806768"/>
    <w:rsid w:val="0080686E"/>
    <w:rsid w:val="0081110D"/>
    <w:rsid w:val="0081390F"/>
    <w:rsid w:val="0081469C"/>
    <w:rsid w:val="008163F4"/>
    <w:rsid w:val="00817000"/>
    <w:rsid w:val="008178DA"/>
    <w:rsid w:val="008223D2"/>
    <w:rsid w:val="00822419"/>
    <w:rsid w:val="00823C59"/>
    <w:rsid w:val="008261EB"/>
    <w:rsid w:val="00830A79"/>
    <w:rsid w:val="00830F35"/>
    <w:rsid w:val="008349EB"/>
    <w:rsid w:val="00837DC3"/>
    <w:rsid w:val="00842962"/>
    <w:rsid w:val="008446F7"/>
    <w:rsid w:val="00845A37"/>
    <w:rsid w:val="00845C8E"/>
    <w:rsid w:val="00846698"/>
    <w:rsid w:val="008479F3"/>
    <w:rsid w:val="008518E3"/>
    <w:rsid w:val="00855477"/>
    <w:rsid w:val="00860F07"/>
    <w:rsid w:val="00861D14"/>
    <w:rsid w:val="00863D4F"/>
    <w:rsid w:val="00866ADD"/>
    <w:rsid w:val="00866C2E"/>
    <w:rsid w:val="008678BE"/>
    <w:rsid w:val="00867FEF"/>
    <w:rsid w:val="008701D4"/>
    <w:rsid w:val="008710A2"/>
    <w:rsid w:val="008713EF"/>
    <w:rsid w:val="00872271"/>
    <w:rsid w:val="0087350E"/>
    <w:rsid w:val="008768D6"/>
    <w:rsid w:val="00877186"/>
    <w:rsid w:val="008771D2"/>
    <w:rsid w:val="00877891"/>
    <w:rsid w:val="00877DB4"/>
    <w:rsid w:val="0088153B"/>
    <w:rsid w:val="0088223B"/>
    <w:rsid w:val="00882939"/>
    <w:rsid w:val="00884347"/>
    <w:rsid w:val="00885C3E"/>
    <w:rsid w:val="00886956"/>
    <w:rsid w:val="00886985"/>
    <w:rsid w:val="00887447"/>
    <w:rsid w:val="00887A7F"/>
    <w:rsid w:val="00887D05"/>
    <w:rsid w:val="00891771"/>
    <w:rsid w:val="008933DD"/>
    <w:rsid w:val="0089408F"/>
    <w:rsid w:val="008958B6"/>
    <w:rsid w:val="00896FCA"/>
    <w:rsid w:val="00897933"/>
    <w:rsid w:val="00897B77"/>
    <w:rsid w:val="008A0B41"/>
    <w:rsid w:val="008A18D0"/>
    <w:rsid w:val="008A4D1D"/>
    <w:rsid w:val="008A7028"/>
    <w:rsid w:val="008B26DB"/>
    <w:rsid w:val="008B7F7F"/>
    <w:rsid w:val="008C481D"/>
    <w:rsid w:val="008C4A95"/>
    <w:rsid w:val="008C4AB4"/>
    <w:rsid w:val="008C6960"/>
    <w:rsid w:val="008C767E"/>
    <w:rsid w:val="008C7C30"/>
    <w:rsid w:val="008D0DD5"/>
    <w:rsid w:val="008D0FB7"/>
    <w:rsid w:val="008D1AF2"/>
    <w:rsid w:val="008D1F9C"/>
    <w:rsid w:val="008D2748"/>
    <w:rsid w:val="008D3D34"/>
    <w:rsid w:val="008D3FF6"/>
    <w:rsid w:val="008D4E00"/>
    <w:rsid w:val="008D55E9"/>
    <w:rsid w:val="008D6425"/>
    <w:rsid w:val="008D71C7"/>
    <w:rsid w:val="008D7903"/>
    <w:rsid w:val="008E2139"/>
    <w:rsid w:val="008E55F0"/>
    <w:rsid w:val="008E6193"/>
    <w:rsid w:val="008E62BD"/>
    <w:rsid w:val="008F3324"/>
    <w:rsid w:val="008F74A6"/>
    <w:rsid w:val="009007E3"/>
    <w:rsid w:val="00900848"/>
    <w:rsid w:val="0090106F"/>
    <w:rsid w:val="00905513"/>
    <w:rsid w:val="00907A01"/>
    <w:rsid w:val="00911E99"/>
    <w:rsid w:val="00911F69"/>
    <w:rsid w:val="00915C41"/>
    <w:rsid w:val="00915E49"/>
    <w:rsid w:val="00916735"/>
    <w:rsid w:val="00916C59"/>
    <w:rsid w:val="00920BE4"/>
    <w:rsid w:val="00921B73"/>
    <w:rsid w:val="00922585"/>
    <w:rsid w:val="00922EBE"/>
    <w:rsid w:val="00923E9E"/>
    <w:rsid w:val="009255BA"/>
    <w:rsid w:val="00926607"/>
    <w:rsid w:val="009267F5"/>
    <w:rsid w:val="009307B8"/>
    <w:rsid w:val="00931CD9"/>
    <w:rsid w:val="00932855"/>
    <w:rsid w:val="0093727D"/>
    <w:rsid w:val="009373E3"/>
    <w:rsid w:val="009378EF"/>
    <w:rsid w:val="00940536"/>
    <w:rsid w:val="009420BF"/>
    <w:rsid w:val="00942996"/>
    <w:rsid w:val="00950022"/>
    <w:rsid w:val="00951C4A"/>
    <w:rsid w:val="00951DAF"/>
    <w:rsid w:val="00954940"/>
    <w:rsid w:val="00955450"/>
    <w:rsid w:val="009571D3"/>
    <w:rsid w:val="00960452"/>
    <w:rsid w:val="00960E91"/>
    <w:rsid w:val="0096281F"/>
    <w:rsid w:val="0096358E"/>
    <w:rsid w:val="00963E52"/>
    <w:rsid w:val="009644A8"/>
    <w:rsid w:val="00971B53"/>
    <w:rsid w:val="009731E5"/>
    <w:rsid w:val="009754FE"/>
    <w:rsid w:val="0097778B"/>
    <w:rsid w:val="00977E68"/>
    <w:rsid w:val="009819E8"/>
    <w:rsid w:val="00983AEE"/>
    <w:rsid w:val="009841B0"/>
    <w:rsid w:val="00984361"/>
    <w:rsid w:val="00984603"/>
    <w:rsid w:val="00984EA3"/>
    <w:rsid w:val="0098546A"/>
    <w:rsid w:val="00987210"/>
    <w:rsid w:val="009875AA"/>
    <w:rsid w:val="00987F33"/>
    <w:rsid w:val="0099368E"/>
    <w:rsid w:val="00993B3C"/>
    <w:rsid w:val="00993FAF"/>
    <w:rsid w:val="009943D4"/>
    <w:rsid w:val="009948CF"/>
    <w:rsid w:val="009952B6"/>
    <w:rsid w:val="00995AD3"/>
    <w:rsid w:val="009A0088"/>
    <w:rsid w:val="009A01E3"/>
    <w:rsid w:val="009A57D3"/>
    <w:rsid w:val="009A6257"/>
    <w:rsid w:val="009A64DD"/>
    <w:rsid w:val="009C24DC"/>
    <w:rsid w:val="009C4822"/>
    <w:rsid w:val="009C60FC"/>
    <w:rsid w:val="009C7946"/>
    <w:rsid w:val="009C7ED7"/>
    <w:rsid w:val="009D0BDB"/>
    <w:rsid w:val="009D17F4"/>
    <w:rsid w:val="009D1AA3"/>
    <w:rsid w:val="009D20E0"/>
    <w:rsid w:val="009D274E"/>
    <w:rsid w:val="009D3C82"/>
    <w:rsid w:val="009D4ECF"/>
    <w:rsid w:val="009D645C"/>
    <w:rsid w:val="009E0644"/>
    <w:rsid w:val="009F0C1D"/>
    <w:rsid w:val="009F2CC4"/>
    <w:rsid w:val="009F2EA7"/>
    <w:rsid w:val="009F51C1"/>
    <w:rsid w:val="009F5905"/>
    <w:rsid w:val="009F62EA"/>
    <w:rsid w:val="009F6D51"/>
    <w:rsid w:val="00A01524"/>
    <w:rsid w:val="00A01913"/>
    <w:rsid w:val="00A01C51"/>
    <w:rsid w:val="00A02C99"/>
    <w:rsid w:val="00A03D8E"/>
    <w:rsid w:val="00A07013"/>
    <w:rsid w:val="00A072F1"/>
    <w:rsid w:val="00A075E7"/>
    <w:rsid w:val="00A115DE"/>
    <w:rsid w:val="00A11E68"/>
    <w:rsid w:val="00A148DF"/>
    <w:rsid w:val="00A15183"/>
    <w:rsid w:val="00A164A1"/>
    <w:rsid w:val="00A16F66"/>
    <w:rsid w:val="00A21D8C"/>
    <w:rsid w:val="00A23C0B"/>
    <w:rsid w:val="00A24E37"/>
    <w:rsid w:val="00A24F74"/>
    <w:rsid w:val="00A25442"/>
    <w:rsid w:val="00A25573"/>
    <w:rsid w:val="00A268FB"/>
    <w:rsid w:val="00A26D23"/>
    <w:rsid w:val="00A26E6C"/>
    <w:rsid w:val="00A2717A"/>
    <w:rsid w:val="00A2720F"/>
    <w:rsid w:val="00A30A29"/>
    <w:rsid w:val="00A32355"/>
    <w:rsid w:val="00A3789B"/>
    <w:rsid w:val="00A40DE7"/>
    <w:rsid w:val="00A40F08"/>
    <w:rsid w:val="00A45620"/>
    <w:rsid w:val="00A45B61"/>
    <w:rsid w:val="00A500A5"/>
    <w:rsid w:val="00A51D43"/>
    <w:rsid w:val="00A520CD"/>
    <w:rsid w:val="00A541DE"/>
    <w:rsid w:val="00A574A9"/>
    <w:rsid w:val="00A60029"/>
    <w:rsid w:val="00A60FDF"/>
    <w:rsid w:val="00A61CAD"/>
    <w:rsid w:val="00A63352"/>
    <w:rsid w:val="00A65401"/>
    <w:rsid w:val="00A663D8"/>
    <w:rsid w:val="00A67DCB"/>
    <w:rsid w:val="00A67F27"/>
    <w:rsid w:val="00A700F4"/>
    <w:rsid w:val="00A70401"/>
    <w:rsid w:val="00A71093"/>
    <w:rsid w:val="00A7179E"/>
    <w:rsid w:val="00A76DBA"/>
    <w:rsid w:val="00A80BE0"/>
    <w:rsid w:val="00A826C2"/>
    <w:rsid w:val="00A83FC8"/>
    <w:rsid w:val="00A850A5"/>
    <w:rsid w:val="00A85F34"/>
    <w:rsid w:val="00A860A0"/>
    <w:rsid w:val="00A8654E"/>
    <w:rsid w:val="00A87730"/>
    <w:rsid w:val="00A87DAF"/>
    <w:rsid w:val="00A91C0C"/>
    <w:rsid w:val="00A93147"/>
    <w:rsid w:val="00A94120"/>
    <w:rsid w:val="00A950E7"/>
    <w:rsid w:val="00A964D9"/>
    <w:rsid w:val="00AA13EE"/>
    <w:rsid w:val="00AA195A"/>
    <w:rsid w:val="00AA3AE3"/>
    <w:rsid w:val="00AA400A"/>
    <w:rsid w:val="00AA7C38"/>
    <w:rsid w:val="00AB186E"/>
    <w:rsid w:val="00AB4373"/>
    <w:rsid w:val="00AB6188"/>
    <w:rsid w:val="00AB7EC0"/>
    <w:rsid w:val="00AB7F1B"/>
    <w:rsid w:val="00AC1521"/>
    <w:rsid w:val="00AC2579"/>
    <w:rsid w:val="00AC2692"/>
    <w:rsid w:val="00AC2B37"/>
    <w:rsid w:val="00AC31EA"/>
    <w:rsid w:val="00AC4AAD"/>
    <w:rsid w:val="00AC69BD"/>
    <w:rsid w:val="00AC78E9"/>
    <w:rsid w:val="00AD13E9"/>
    <w:rsid w:val="00AD17F9"/>
    <w:rsid w:val="00AD1C28"/>
    <w:rsid w:val="00AD4EAF"/>
    <w:rsid w:val="00AD5063"/>
    <w:rsid w:val="00AD66BF"/>
    <w:rsid w:val="00AE0773"/>
    <w:rsid w:val="00AE1752"/>
    <w:rsid w:val="00AE1A3D"/>
    <w:rsid w:val="00AE1C21"/>
    <w:rsid w:val="00AE5CE1"/>
    <w:rsid w:val="00AE5D1E"/>
    <w:rsid w:val="00AE6C31"/>
    <w:rsid w:val="00AE77A1"/>
    <w:rsid w:val="00AF1040"/>
    <w:rsid w:val="00AF21F6"/>
    <w:rsid w:val="00AF5070"/>
    <w:rsid w:val="00AF50F1"/>
    <w:rsid w:val="00AF538B"/>
    <w:rsid w:val="00B022D9"/>
    <w:rsid w:val="00B036CF"/>
    <w:rsid w:val="00B03E82"/>
    <w:rsid w:val="00B046E4"/>
    <w:rsid w:val="00B0489B"/>
    <w:rsid w:val="00B066E8"/>
    <w:rsid w:val="00B0670F"/>
    <w:rsid w:val="00B06C1B"/>
    <w:rsid w:val="00B101E9"/>
    <w:rsid w:val="00B10E20"/>
    <w:rsid w:val="00B11C6D"/>
    <w:rsid w:val="00B13B05"/>
    <w:rsid w:val="00B1429A"/>
    <w:rsid w:val="00B15D4C"/>
    <w:rsid w:val="00B202DC"/>
    <w:rsid w:val="00B20FAE"/>
    <w:rsid w:val="00B2437C"/>
    <w:rsid w:val="00B25E09"/>
    <w:rsid w:val="00B30B35"/>
    <w:rsid w:val="00B32144"/>
    <w:rsid w:val="00B33F70"/>
    <w:rsid w:val="00B361B2"/>
    <w:rsid w:val="00B368F5"/>
    <w:rsid w:val="00B41031"/>
    <w:rsid w:val="00B43528"/>
    <w:rsid w:val="00B453C0"/>
    <w:rsid w:val="00B46CCF"/>
    <w:rsid w:val="00B47BA7"/>
    <w:rsid w:val="00B500D0"/>
    <w:rsid w:val="00B501BD"/>
    <w:rsid w:val="00B50B37"/>
    <w:rsid w:val="00B5102F"/>
    <w:rsid w:val="00B51C14"/>
    <w:rsid w:val="00B51E5A"/>
    <w:rsid w:val="00B541A5"/>
    <w:rsid w:val="00B5547C"/>
    <w:rsid w:val="00B55C42"/>
    <w:rsid w:val="00B57156"/>
    <w:rsid w:val="00B573D1"/>
    <w:rsid w:val="00B60219"/>
    <w:rsid w:val="00B60362"/>
    <w:rsid w:val="00B60C84"/>
    <w:rsid w:val="00B65A33"/>
    <w:rsid w:val="00B66AB2"/>
    <w:rsid w:val="00B67353"/>
    <w:rsid w:val="00B70616"/>
    <w:rsid w:val="00B71852"/>
    <w:rsid w:val="00B72C79"/>
    <w:rsid w:val="00B739A2"/>
    <w:rsid w:val="00B750AA"/>
    <w:rsid w:val="00B75F30"/>
    <w:rsid w:val="00B7780E"/>
    <w:rsid w:val="00B81795"/>
    <w:rsid w:val="00B8187A"/>
    <w:rsid w:val="00B82641"/>
    <w:rsid w:val="00B82B0D"/>
    <w:rsid w:val="00B84F23"/>
    <w:rsid w:val="00B855A6"/>
    <w:rsid w:val="00B8577F"/>
    <w:rsid w:val="00B862FA"/>
    <w:rsid w:val="00B877B1"/>
    <w:rsid w:val="00B9202F"/>
    <w:rsid w:val="00B94131"/>
    <w:rsid w:val="00B94F82"/>
    <w:rsid w:val="00B9566C"/>
    <w:rsid w:val="00B96257"/>
    <w:rsid w:val="00B97A0A"/>
    <w:rsid w:val="00BA0485"/>
    <w:rsid w:val="00BA0D49"/>
    <w:rsid w:val="00BA1FA4"/>
    <w:rsid w:val="00BA2429"/>
    <w:rsid w:val="00BA33B8"/>
    <w:rsid w:val="00BA3611"/>
    <w:rsid w:val="00BA3D8F"/>
    <w:rsid w:val="00BA42F5"/>
    <w:rsid w:val="00BA48FC"/>
    <w:rsid w:val="00BA4FCC"/>
    <w:rsid w:val="00BA5FD5"/>
    <w:rsid w:val="00BB04CE"/>
    <w:rsid w:val="00BB0D79"/>
    <w:rsid w:val="00BB5470"/>
    <w:rsid w:val="00BB71CC"/>
    <w:rsid w:val="00BC07A9"/>
    <w:rsid w:val="00BC0E33"/>
    <w:rsid w:val="00BC2017"/>
    <w:rsid w:val="00BC2BBD"/>
    <w:rsid w:val="00BC2CA7"/>
    <w:rsid w:val="00BC2DE0"/>
    <w:rsid w:val="00BC4056"/>
    <w:rsid w:val="00BC5843"/>
    <w:rsid w:val="00BD08F8"/>
    <w:rsid w:val="00BD206F"/>
    <w:rsid w:val="00BD29E5"/>
    <w:rsid w:val="00BD30F1"/>
    <w:rsid w:val="00BD3747"/>
    <w:rsid w:val="00BD45BB"/>
    <w:rsid w:val="00BD4C1C"/>
    <w:rsid w:val="00BD5B8C"/>
    <w:rsid w:val="00BD6A6A"/>
    <w:rsid w:val="00BD7002"/>
    <w:rsid w:val="00BD723B"/>
    <w:rsid w:val="00BD737A"/>
    <w:rsid w:val="00BE1995"/>
    <w:rsid w:val="00BE30D1"/>
    <w:rsid w:val="00BE5F6B"/>
    <w:rsid w:val="00BE69AE"/>
    <w:rsid w:val="00BE6B9C"/>
    <w:rsid w:val="00BF0AB6"/>
    <w:rsid w:val="00BF0CFD"/>
    <w:rsid w:val="00BF0DD9"/>
    <w:rsid w:val="00BF1BE9"/>
    <w:rsid w:val="00BF2091"/>
    <w:rsid w:val="00BF7388"/>
    <w:rsid w:val="00C0178E"/>
    <w:rsid w:val="00C03C6D"/>
    <w:rsid w:val="00C052EC"/>
    <w:rsid w:val="00C0757B"/>
    <w:rsid w:val="00C07935"/>
    <w:rsid w:val="00C10537"/>
    <w:rsid w:val="00C14138"/>
    <w:rsid w:val="00C15B8C"/>
    <w:rsid w:val="00C178E5"/>
    <w:rsid w:val="00C218CC"/>
    <w:rsid w:val="00C25F35"/>
    <w:rsid w:val="00C26594"/>
    <w:rsid w:val="00C27017"/>
    <w:rsid w:val="00C27BED"/>
    <w:rsid w:val="00C30E54"/>
    <w:rsid w:val="00C30EF1"/>
    <w:rsid w:val="00C31F90"/>
    <w:rsid w:val="00C32154"/>
    <w:rsid w:val="00C32C2B"/>
    <w:rsid w:val="00C33BCA"/>
    <w:rsid w:val="00C34165"/>
    <w:rsid w:val="00C34EF0"/>
    <w:rsid w:val="00C42A07"/>
    <w:rsid w:val="00C4438B"/>
    <w:rsid w:val="00C443F1"/>
    <w:rsid w:val="00C47948"/>
    <w:rsid w:val="00C549FC"/>
    <w:rsid w:val="00C54FD4"/>
    <w:rsid w:val="00C554AF"/>
    <w:rsid w:val="00C57C6F"/>
    <w:rsid w:val="00C602CC"/>
    <w:rsid w:val="00C61B1E"/>
    <w:rsid w:val="00C63BA6"/>
    <w:rsid w:val="00C63ECF"/>
    <w:rsid w:val="00C644DD"/>
    <w:rsid w:val="00C65C50"/>
    <w:rsid w:val="00C660D2"/>
    <w:rsid w:val="00C66786"/>
    <w:rsid w:val="00C701A0"/>
    <w:rsid w:val="00C70CB6"/>
    <w:rsid w:val="00C70DBA"/>
    <w:rsid w:val="00C71398"/>
    <w:rsid w:val="00C7153E"/>
    <w:rsid w:val="00C72981"/>
    <w:rsid w:val="00C72A08"/>
    <w:rsid w:val="00C731BC"/>
    <w:rsid w:val="00C758A3"/>
    <w:rsid w:val="00C75F3F"/>
    <w:rsid w:val="00C7643B"/>
    <w:rsid w:val="00C8562A"/>
    <w:rsid w:val="00C87242"/>
    <w:rsid w:val="00C87AEE"/>
    <w:rsid w:val="00C9040B"/>
    <w:rsid w:val="00C904E2"/>
    <w:rsid w:val="00C926C5"/>
    <w:rsid w:val="00C93AF4"/>
    <w:rsid w:val="00C9416F"/>
    <w:rsid w:val="00C97DDC"/>
    <w:rsid w:val="00CA13EC"/>
    <w:rsid w:val="00CA22FE"/>
    <w:rsid w:val="00CA5B29"/>
    <w:rsid w:val="00CA5F89"/>
    <w:rsid w:val="00CA5FC4"/>
    <w:rsid w:val="00CA674B"/>
    <w:rsid w:val="00CA778D"/>
    <w:rsid w:val="00CB0D0E"/>
    <w:rsid w:val="00CB127E"/>
    <w:rsid w:val="00CB1ECF"/>
    <w:rsid w:val="00CB2222"/>
    <w:rsid w:val="00CB224B"/>
    <w:rsid w:val="00CB59DC"/>
    <w:rsid w:val="00CB5EBD"/>
    <w:rsid w:val="00CC3610"/>
    <w:rsid w:val="00CC42E5"/>
    <w:rsid w:val="00CC44AE"/>
    <w:rsid w:val="00CC525A"/>
    <w:rsid w:val="00CC540C"/>
    <w:rsid w:val="00CC577E"/>
    <w:rsid w:val="00CC581D"/>
    <w:rsid w:val="00CC6A5E"/>
    <w:rsid w:val="00CC7E18"/>
    <w:rsid w:val="00CD504B"/>
    <w:rsid w:val="00CD5601"/>
    <w:rsid w:val="00CD7302"/>
    <w:rsid w:val="00CE18D5"/>
    <w:rsid w:val="00CE208D"/>
    <w:rsid w:val="00CE3ED1"/>
    <w:rsid w:val="00CE4F2A"/>
    <w:rsid w:val="00CE5D80"/>
    <w:rsid w:val="00CE5E17"/>
    <w:rsid w:val="00CE5E86"/>
    <w:rsid w:val="00CF1D30"/>
    <w:rsid w:val="00CF396B"/>
    <w:rsid w:val="00CF6DE4"/>
    <w:rsid w:val="00D045E8"/>
    <w:rsid w:val="00D058BE"/>
    <w:rsid w:val="00D06836"/>
    <w:rsid w:val="00D07613"/>
    <w:rsid w:val="00D102D4"/>
    <w:rsid w:val="00D10F67"/>
    <w:rsid w:val="00D11B75"/>
    <w:rsid w:val="00D130A7"/>
    <w:rsid w:val="00D1475E"/>
    <w:rsid w:val="00D173C0"/>
    <w:rsid w:val="00D20287"/>
    <w:rsid w:val="00D20786"/>
    <w:rsid w:val="00D216E2"/>
    <w:rsid w:val="00D21C78"/>
    <w:rsid w:val="00D231B1"/>
    <w:rsid w:val="00D23712"/>
    <w:rsid w:val="00D27008"/>
    <w:rsid w:val="00D30891"/>
    <w:rsid w:val="00D31071"/>
    <w:rsid w:val="00D31092"/>
    <w:rsid w:val="00D3262B"/>
    <w:rsid w:val="00D33E3A"/>
    <w:rsid w:val="00D343D6"/>
    <w:rsid w:val="00D34942"/>
    <w:rsid w:val="00D34992"/>
    <w:rsid w:val="00D36086"/>
    <w:rsid w:val="00D36574"/>
    <w:rsid w:val="00D3669B"/>
    <w:rsid w:val="00D375A7"/>
    <w:rsid w:val="00D3793E"/>
    <w:rsid w:val="00D40D24"/>
    <w:rsid w:val="00D41910"/>
    <w:rsid w:val="00D42BC1"/>
    <w:rsid w:val="00D44905"/>
    <w:rsid w:val="00D44B1F"/>
    <w:rsid w:val="00D452D9"/>
    <w:rsid w:val="00D45DBD"/>
    <w:rsid w:val="00D4652C"/>
    <w:rsid w:val="00D46BBE"/>
    <w:rsid w:val="00D46E53"/>
    <w:rsid w:val="00D50380"/>
    <w:rsid w:val="00D5075E"/>
    <w:rsid w:val="00D50806"/>
    <w:rsid w:val="00D52F20"/>
    <w:rsid w:val="00D538BF"/>
    <w:rsid w:val="00D55F7C"/>
    <w:rsid w:val="00D5639E"/>
    <w:rsid w:val="00D56429"/>
    <w:rsid w:val="00D56F35"/>
    <w:rsid w:val="00D6163F"/>
    <w:rsid w:val="00D6176B"/>
    <w:rsid w:val="00D6241C"/>
    <w:rsid w:val="00D63A29"/>
    <w:rsid w:val="00D6413E"/>
    <w:rsid w:val="00D64626"/>
    <w:rsid w:val="00D6775B"/>
    <w:rsid w:val="00D70FDA"/>
    <w:rsid w:val="00D71D0B"/>
    <w:rsid w:val="00D76906"/>
    <w:rsid w:val="00D835EC"/>
    <w:rsid w:val="00D83DC6"/>
    <w:rsid w:val="00D847E6"/>
    <w:rsid w:val="00D85331"/>
    <w:rsid w:val="00D85859"/>
    <w:rsid w:val="00D85957"/>
    <w:rsid w:val="00D8612C"/>
    <w:rsid w:val="00D8742D"/>
    <w:rsid w:val="00D903BF"/>
    <w:rsid w:val="00D906A5"/>
    <w:rsid w:val="00D9149C"/>
    <w:rsid w:val="00D976CA"/>
    <w:rsid w:val="00DA0618"/>
    <w:rsid w:val="00DA496F"/>
    <w:rsid w:val="00DA5041"/>
    <w:rsid w:val="00DA6123"/>
    <w:rsid w:val="00DA65E6"/>
    <w:rsid w:val="00DA6E2A"/>
    <w:rsid w:val="00DB00A0"/>
    <w:rsid w:val="00DB0288"/>
    <w:rsid w:val="00DB0472"/>
    <w:rsid w:val="00DB16F6"/>
    <w:rsid w:val="00DB1CE1"/>
    <w:rsid w:val="00DB22AE"/>
    <w:rsid w:val="00DB2C86"/>
    <w:rsid w:val="00DB356E"/>
    <w:rsid w:val="00DB394C"/>
    <w:rsid w:val="00DB411B"/>
    <w:rsid w:val="00DB4254"/>
    <w:rsid w:val="00DB4309"/>
    <w:rsid w:val="00DB44A9"/>
    <w:rsid w:val="00DB4686"/>
    <w:rsid w:val="00DB6663"/>
    <w:rsid w:val="00DB6881"/>
    <w:rsid w:val="00DB7D6C"/>
    <w:rsid w:val="00DC5D44"/>
    <w:rsid w:val="00DC7FEE"/>
    <w:rsid w:val="00DD1A5B"/>
    <w:rsid w:val="00DD27D0"/>
    <w:rsid w:val="00DD5489"/>
    <w:rsid w:val="00DE0090"/>
    <w:rsid w:val="00DE02B2"/>
    <w:rsid w:val="00DE241E"/>
    <w:rsid w:val="00DE51E0"/>
    <w:rsid w:val="00DE5CD8"/>
    <w:rsid w:val="00DE6689"/>
    <w:rsid w:val="00DF039B"/>
    <w:rsid w:val="00DF18DA"/>
    <w:rsid w:val="00DF1BD9"/>
    <w:rsid w:val="00DF1FDA"/>
    <w:rsid w:val="00DF401B"/>
    <w:rsid w:val="00DF485C"/>
    <w:rsid w:val="00DF615A"/>
    <w:rsid w:val="00DF6F67"/>
    <w:rsid w:val="00DF7306"/>
    <w:rsid w:val="00E01279"/>
    <w:rsid w:val="00E02D21"/>
    <w:rsid w:val="00E03574"/>
    <w:rsid w:val="00E037E0"/>
    <w:rsid w:val="00E03D05"/>
    <w:rsid w:val="00E066A0"/>
    <w:rsid w:val="00E071C2"/>
    <w:rsid w:val="00E075D8"/>
    <w:rsid w:val="00E07A4D"/>
    <w:rsid w:val="00E07B42"/>
    <w:rsid w:val="00E11A34"/>
    <w:rsid w:val="00E12163"/>
    <w:rsid w:val="00E12222"/>
    <w:rsid w:val="00E1234D"/>
    <w:rsid w:val="00E12FD5"/>
    <w:rsid w:val="00E13783"/>
    <w:rsid w:val="00E15231"/>
    <w:rsid w:val="00E15432"/>
    <w:rsid w:val="00E16BB0"/>
    <w:rsid w:val="00E1702B"/>
    <w:rsid w:val="00E1771A"/>
    <w:rsid w:val="00E178ED"/>
    <w:rsid w:val="00E203E2"/>
    <w:rsid w:val="00E20602"/>
    <w:rsid w:val="00E22131"/>
    <w:rsid w:val="00E22B08"/>
    <w:rsid w:val="00E2396F"/>
    <w:rsid w:val="00E23AFC"/>
    <w:rsid w:val="00E23EF2"/>
    <w:rsid w:val="00E24A8A"/>
    <w:rsid w:val="00E26D3F"/>
    <w:rsid w:val="00E3059C"/>
    <w:rsid w:val="00E32D36"/>
    <w:rsid w:val="00E33D56"/>
    <w:rsid w:val="00E349B2"/>
    <w:rsid w:val="00E35243"/>
    <w:rsid w:val="00E3626E"/>
    <w:rsid w:val="00E40671"/>
    <w:rsid w:val="00E4070B"/>
    <w:rsid w:val="00E4125F"/>
    <w:rsid w:val="00E41A64"/>
    <w:rsid w:val="00E44DF3"/>
    <w:rsid w:val="00E45BD5"/>
    <w:rsid w:val="00E46D2D"/>
    <w:rsid w:val="00E4743E"/>
    <w:rsid w:val="00E512F1"/>
    <w:rsid w:val="00E5244B"/>
    <w:rsid w:val="00E52907"/>
    <w:rsid w:val="00E52E76"/>
    <w:rsid w:val="00E53AED"/>
    <w:rsid w:val="00E53FF1"/>
    <w:rsid w:val="00E5717B"/>
    <w:rsid w:val="00E60A78"/>
    <w:rsid w:val="00E623B0"/>
    <w:rsid w:val="00E627BE"/>
    <w:rsid w:val="00E63185"/>
    <w:rsid w:val="00E645F4"/>
    <w:rsid w:val="00E64FF2"/>
    <w:rsid w:val="00E66A02"/>
    <w:rsid w:val="00E70645"/>
    <w:rsid w:val="00E70FD1"/>
    <w:rsid w:val="00E71A4B"/>
    <w:rsid w:val="00E722BC"/>
    <w:rsid w:val="00E72A77"/>
    <w:rsid w:val="00E74B9B"/>
    <w:rsid w:val="00E74F46"/>
    <w:rsid w:val="00E755DD"/>
    <w:rsid w:val="00E76710"/>
    <w:rsid w:val="00E77E38"/>
    <w:rsid w:val="00E80946"/>
    <w:rsid w:val="00E811EE"/>
    <w:rsid w:val="00E81C40"/>
    <w:rsid w:val="00E83246"/>
    <w:rsid w:val="00E83B94"/>
    <w:rsid w:val="00E843F8"/>
    <w:rsid w:val="00E868AA"/>
    <w:rsid w:val="00E86DF8"/>
    <w:rsid w:val="00E87334"/>
    <w:rsid w:val="00E87C06"/>
    <w:rsid w:val="00E91419"/>
    <w:rsid w:val="00E92BA8"/>
    <w:rsid w:val="00E93606"/>
    <w:rsid w:val="00E93C2B"/>
    <w:rsid w:val="00E9473A"/>
    <w:rsid w:val="00E962F3"/>
    <w:rsid w:val="00E96CAD"/>
    <w:rsid w:val="00E96D9F"/>
    <w:rsid w:val="00E970B4"/>
    <w:rsid w:val="00EA0F97"/>
    <w:rsid w:val="00EA1951"/>
    <w:rsid w:val="00EA2962"/>
    <w:rsid w:val="00EA2BF6"/>
    <w:rsid w:val="00EA4455"/>
    <w:rsid w:val="00EA475D"/>
    <w:rsid w:val="00EA4B38"/>
    <w:rsid w:val="00EA7D47"/>
    <w:rsid w:val="00EA7D61"/>
    <w:rsid w:val="00EB0377"/>
    <w:rsid w:val="00EB1AF4"/>
    <w:rsid w:val="00EB1C9E"/>
    <w:rsid w:val="00EB4F50"/>
    <w:rsid w:val="00EB797E"/>
    <w:rsid w:val="00EC203A"/>
    <w:rsid w:val="00EC31A2"/>
    <w:rsid w:val="00EC3398"/>
    <w:rsid w:val="00EC456E"/>
    <w:rsid w:val="00EC67A1"/>
    <w:rsid w:val="00EC7D59"/>
    <w:rsid w:val="00ED1664"/>
    <w:rsid w:val="00ED1F6C"/>
    <w:rsid w:val="00ED5E08"/>
    <w:rsid w:val="00ED63A6"/>
    <w:rsid w:val="00EE1534"/>
    <w:rsid w:val="00EE2C32"/>
    <w:rsid w:val="00EE38F6"/>
    <w:rsid w:val="00EE45EF"/>
    <w:rsid w:val="00EE55A8"/>
    <w:rsid w:val="00EE6123"/>
    <w:rsid w:val="00EE6D2E"/>
    <w:rsid w:val="00EE7580"/>
    <w:rsid w:val="00EF41A9"/>
    <w:rsid w:val="00EF6380"/>
    <w:rsid w:val="00EF77A8"/>
    <w:rsid w:val="00EF7C83"/>
    <w:rsid w:val="00EF7ED9"/>
    <w:rsid w:val="00F00852"/>
    <w:rsid w:val="00F013BE"/>
    <w:rsid w:val="00F0146B"/>
    <w:rsid w:val="00F0152E"/>
    <w:rsid w:val="00F03690"/>
    <w:rsid w:val="00F0427B"/>
    <w:rsid w:val="00F0430F"/>
    <w:rsid w:val="00F05591"/>
    <w:rsid w:val="00F10617"/>
    <w:rsid w:val="00F10655"/>
    <w:rsid w:val="00F10C53"/>
    <w:rsid w:val="00F1113D"/>
    <w:rsid w:val="00F133B8"/>
    <w:rsid w:val="00F13C5A"/>
    <w:rsid w:val="00F140F2"/>
    <w:rsid w:val="00F14DC0"/>
    <w:rsid w:val="00F15C41"/>
    <w:rsid w:val="00F16EDC"/>
    <w:rsid w:val="00F16F90"/>
    <w:rsid w:val="00F2189E"/>
    <w:rsid w:val="00F22B2B"/>
    <w:rsid w:val="00F250C3"/>
    <w:rsid w:val="00F257FD"/>
    <w:rsid w:val="00F25813"/>
    <w:rsid w:val="00F258AF"/>
    <w:rsid w:val="00F25AAB"/>
    <w:rsid w:val="00F260F2"/>
    <w:rsid w:val="00F26260"/>
    <w:rsid w:val="00F26B5B"/>
    <w:rsid w:val="00F2755E"/>
    <w:rsid w:val="00F32197"/>
    <w:rsid w:val="00F3434F"/>
    <w:rsid w:val="00F34F6E"/>
    <w:rsid w:val="00F36E99"/>
    <w:rsid w:val="00F4017F"/>
    <w:rsid w:val="00F423E3"/>
    <w:rsid w:val="00F42D68"/>
    <w:rsid w:val="00F453DF"/>
    <w:rsid w:val="00F45D05"/>
    <w:rsid w:val="00F4661E"/>
    <w:rsid w:val="00F514E5"/>
    <w:rsid w:val="00F51BF7"/>
    <w:rsid w:val="00F5413D"/>
    <w:rsid w:val="00F5493B"/>
    <w:rsid w:val="00F5499C"/>
    <w:rsid w:val="00F56280"/>
    <w:rsid w:val="00F5779F"/>
    <w:rsid w:val="00F57BF5"/>
    <w:rsid w:val="00F610E5"/>
    <w:rsid w:val="00F6247E"/>
    <w:rsid w:val="00F64C72"/>
    <w:rsid w:val="00F6547A"/>
    <w:rsid w:val="00F66A95"/>
    <w:rsid w:val="00F702BC"/>
    <w:rsid w:val="00F74A99"/>
    <w:rsid w:val="00F7672F"/>
    <w:rsid w:val="00F779E8"/>
    <w:rsid w:val="00F81B77"/>
    <w:rsid w:val="00F82DCD"/>
    <w:rsid w:val="00F845EC"/>
    <w:rsid w:val="00F86629"/>
    <w:rsid w:val="00F87097"/>
    <w:rsid w:val="00F87429"/>
    <w:rsid w:val="00F87913"/>
    <w:rsid w:val="00F87D84"/>
    <w:rsid w:val="00F91233"/>
    <w:rsid w:val="00F9313C"/>
    <w:rsid w:val="00F96591"/>
    <w:rsid w:val="00F965B4"/>
    <w:rsid w:val="00FA049F"/>
    <w:rsid w:val="00FA2302"/>
    <w:rsid w:val="00FA320C"/>
    <w:rsid w:val="00FA40FD"/>
    <w:rsid w:val="00FA45D0"/>
    <w:rsid w:val="00FA4DDF"/>
    <w:rsid w:val="00FA5063"/>
    <w:rsid w:val="00FA5A36"/>
    <w:rsid w:val="00FA5E5B"/>
    <w:rsid w:val="00FA5FC1"/>
    <w:rsid w:val="00FA694F"/>
    <w:rsid w:val="00FA69B7"/>
    <w:rsid w:val="00FA6C12"/>
    <w:rsid w:val="00FB02D5"/>
    <w:rsid w:val="00FB3EE1"/>
    <w:rsid w:val="00FB41C2"/>
    <w:rsid w:val="00FB76DA"/>
    <w:rsid w:val="00FC06B3"/>
    <w:rsid w:val="00FC1327"/>
    <w:rsid w:val="00FC2439"/>
    <w:rsid w:val="00FC25E6"/>
    <w:rsid w:val="00FC424E"/>
    <w:rsid w:val="00FC468C"/>
    <w:rsid w:val="00FC5830"/>
    <w:rsid w:val="00FC6372"/>
    <w:rsid w:val="00FC68AD"/>
    <w:rsid w:val="00FC72BD"/>
    <w:rsid w:val="00FC7C9D"/>
    <w:rsid w:val="00FD0D32"/>
    <w:rsid w:val="00FD2F2A"/>
    <w:rsid w:val="00FD422E"/>
    <w:rsid w:val="00FD5CD9"/>
    <w:rsid w:val="00FD6A6F"/>
    <w:rsid w:val="00FE1AB3"/>
    <w:rsid w:val="00FE31C0"/>
    <w:rsid w:val="00FE4992"/>
    <w:rsid w:val="00FE5108"/>
    <w:rsid w:val="00FE655C"/>
    <w:rsid w:val="00FE6659"/>
    <w:rsid w:val="00FE75C5"/>
    <w:rsid w:val="113038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szCs w:val="3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3"/>
    <w:basedOn w:val="1"/>
    <w:next w:val="1"/>
    <w:uiPriority w:val="0"/>
    <w:pPr>
      <w:keepNext/>
      <w:keepLines/>
      <w:spacing w:before="260" w:after="260" w:line="416" w:lineRule="auto"/>
      <w:outlineLvl w:val="2"/>
    </w:pPr>
    <w:rPr>
      <w:b/>
      <w:bCs/>
      <w:sz w:val="32"/>
      <w:szCs w:val="32"/>
    </w:rPr>
  </w:style>
  <w:style w:type="character" w:default="1" w:styleId="18">
    <w:name w:val="Default Paragraph Font"/>
    <w:link w:val="19"/>
    <w:semiHidden/>
    <w:uiPriority w:val="0"/>
  </w:style>
  <w:style w:type="table" w:default="1" w:styleId="16">
    <w:name w:val="Normal Table"/>
    <w:semiHidden/>
    <w:uiPriority w:val="0"/>
    <w:tblPr>
      <w:tblStyle w:val="16"/>
      <w:tblCellMar>
        <w:top w:w="0" w:type="dxa"/>
        <w:left w:w="108" w:type="dxa"/>
        <w:bottom w:w="0" w:type="dxa"/>
        <w:right w:w="108" w:type="dxa"/>
      </w:tblCellMar>
    </w:tblPr>
    <w:trPr>
      <w:wBefore w:w="0" w:type="dxa"/>
    </w:trPr>
  </w:style>
  <w:style w:type="paragraph" w:styleId="4">
    <w:name w:val="Body Text"/>
    <w:basedOn w:val="1"/>
    <w:uiPriority w:val="0"/>
    <w:rPr>
      <w:rFonts w:eastAsia="仿宋_GB2312"/>
      <w:sz w:val="32"/>
    </w:rPr>
  </w:style>
  <w:style w:type="paragraph" w:styleId="5">
    <w:name w:val="Body Text Indent"/>
    <w:basedOn w:val="1"/>
    <w:uiPriority w:val="0"/>
    <w:pPr>
      <w:spacing w:after="120"/>
      <w:ind w:left="420" w:leftChars="200"/>
    </w:pPr>
  </w:style>
  <w:style w:type="paragraph" w:styleId="6">
    <w:name w:val="Plain Text"/>
    <w:basedOn w:val="1"/>
    <w:link w:val="44"/>
    <w:uiPriority w:val="0"/>
    <w:rPr>
      <w:rFonts w:ascii="宋体" w:hAnsi="Courier New" w:eastAsia="宋体" w:cs="Courier New"/>
      <w:sz w:val="21"/>
      <w:szCs w:val="21"/>
    </w:rPr>
  </w:style>
  <w:style w:type="paragraph" w:styleId="7">
    <w:name w:val="Date"/>
    <w:basedOn w:val="1"/>
    <w:next w:val="1"/>
    <w:uiPriority w:val="0"/>
    <w:pPr>
      <w:ind w:left="100" w:leftChars="2500"/>
    </w:pPr>
  </w:style>
  <w:style w:type="paragraph" w:styleId="8">
    <w:name w:val="Body Text Indent 2"/>
    <w:basedOn w:val="1"/>
    <w:qFormat/>
    <w:uiPriority w:val="0"/>
    <w:pPr>
      <w:spacing w:after="120" w:line="480" w:lineRule="auto"/>
      <w:ind w:left="420" w:leftChars="200"/>
    </w:pPr>
    <w:rPr>
      <w:rFonts w:ascii="Calibri" w:hAnsi="Calibri" w:eastAsia="宋体"/>
      <w:sz w:val="21"/>
      <w:szCs w:val="24"/>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4"/>
    <w:qFormat/>
    <w:uiPriority w:val="0"/>
    <w:pPr>
      <w:spacing w:after="120"/>
      <w:ind w:firstLine="420" w:firstLineChars="100"/>
    </w:pPr>
    <w:rPr>
      <w:rFonts w:ascii="Calibri" w:hAnsi="Calibri" w:eastAsia="宋体"/>
      <w:sz w:val="21"/>
      <w:szCs w:val="24"/>
    </w:rPr>
  </w:style>
  <w:style w:type="paragraph" w:styleId="15">
    <w:name w:val="Body Text First Indent 2"/>
    <w:basedOn w:val="5"/>
    <w:uiPriority w:val="0"/>
    <w:pPr>
      <w:ind w:firstLine="420" w:firstLineChars="200"/>
    </w:pPr>
  </w:style>
  <w:style w:type="table" w:styleId="17">
    <w:name w:val="Table Grid"/>
    <w:basedOn w:val="16"/>
    <w:uiPriority w:val="0"/>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1"/>
    <w:basedOn w:val="1"/>
    <w:link w:val="18"/>
    <w:uiPriority w:val="0"/>
    <w:pPr>
      <w:ind w:firstLine="640" w:firstLineChars="200"/>
    </w:pPr>
    <w:rPr>
      <w:rFonts w:ascii="Arial" w:hAnsi="Arial" w:cs="Arial"/>
    </w:rPr>
  </w:style>
  <w:style w:type="character" w:styleId="20">
    <w:name w:val="Strong"/>
    <w:basedOn w:val="18"/>
    <w:uiPriority w:val="0"/>
    <w:rPr>
      <w:b/>
      <w:bCs/>
    </w:rPr>
  </w:style>
  <w:style w:type="character" w:styleId="21">
    <w:name w:val="page number"/>
    <w:basedOn w:val="18"/>
    <w:uiPriority w:val="0"/>
  </w:style>
  <w:style w:type="character" w:styleId="22">
    <w:name w:val="Hyperlink"/>
    <w:basedOn w:val="18"/>
    <w:uiPriority w:val="0"/>
    <w:rPr>
      <w:color w:val="0000FF"/>
      <w:u w:val="single"/>
    </w:rPr>
  </w:style>
  <w:style w:type="paragraph" w:customStyle="1" w:styleId="23">
    <w:name w:val="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4">
    <w:name w:val="p0"/>
    <w:basedOn w:val="1"/>
    <w:uiPriority w:val="0"/>
    <w:pPr>
      <w:widowControl/>
      <w:spacing w:line="837" w:lineRule="atLeast"/>
      <w:ind w:left="1"/>
      <w:textAlignment w:val="bottom"/>
    </w:pPr>
    <w:rPr>
      <w:rFonts w:eastAsia="宋体"/>
      <w:color w:val="000000"/>
      <w:kern w:val="0"/>
      <w:sz w:val="21"/>
      <w:szCs w:val="21"/>
    </w:rPr>
  </w:style>
  <w:style w:type="paragraph" w:customStyle="1" w:styleId="25">
    <w:name w:val="pa-8"/>
    <w:basedOn w:val="1"/>
    <w:uiPriority w:val="0"/>
    <w:pPr>
      <w:widowControl/>
      <w:spacing w:line="320" w:lineRule="atLeast"/>
      <w:ind w:firstLine="1540"/>
      <w:jc w:val="left"/>
    </w:pPr>
    <w:rPr>
      <w:rFonts w:ascii="宋体" w:hAnsi="宋体" w:eastAsia="宋体" w:cs="宋体"/>
      <w:kern w:val="0"/>
      <w:sz w:val="24"/>
      <w:szCs w:val="24"/>
    </w:rPr>
  </w:style>
  <w:style w:type="paragraph" w:customStyle="1" w:styleId="26">
    <w:name w:val="p16"/>
    <w:basedOn w:val="1"/>
    <w:uiPriority w:val="0"/>
    <w:pPr>
      <w:widowControl/>
      <w:spacing w:after="120"/>
    </w:pPr>
    <w:rPr>
      <w:rFonts w:eastAsia="宋体"/>
      <w:kern w:val="0"/>
      <w:sz w:val="21"/>
      <w:szCs w:val="21"/>
    </w:rPr>
  </w:style>
  <w:style w:type="paragraph" w:customStyle="1" w:styleId="27">
    <w:name w:val="Char Char Char1 Char Char Char Char Char Char Char Char Char Char Char Char Char"/>
    <w:basedOn w:val="1"/>
    <w:uiPriority w:val="0"/>
    <w:pPr>
      <w:widowControl/>
      <w:spacing w:after="160" w:line="240" w:lineRule="exact"/>
      <w:jc w:val="left"/>
    </w:pPr>
    <w:rPr>
      <w:rFonts w:ascii="Verdana" w:hAnsi="Verdana"/>
      <w:kern w:val="0"/>
      <w:sz w:val="24"/>
      <w:szCs w:val="20"/>
      <w:lang w:eastAsia="en-US"/>
    </w:rPr>
  </w:style>
  <w:style w:type="paragraph" w:customStyle="1" w:styleId="28">
    <w:name w:val="Char Char Char Char1 Char Char Char Char Char Char"/>
    <w:basedOn w:val="1"/>
    <w:uiPriority w:val="0"/>
    <w:pPr>
      <w:tabs>
        <w:tab w:val="left" w:pos="840"/>
      </w:tabs>
      <w:ind w:left="840" w:hanging="420"/>
    </w:pPr>
    <w:rPr>
      <w:szCs w:val="24"/>
    </w:rPr>
  </w:style>
  <w:style w:type="paragraph" w:customStyle="1" w:styleId="29">
    <w:name w:val=" Char Char Char1 Char Char Char Char Char Char Char Char Char Char Char Char Char"/>
    <w:basedOn w:val="1"/>
    <w:uiPriority w:val="0"/>
    <w:pPr>
      <w:widowControl/>
      <w:spacing w:after="160" w:line="240" w:lineRule="exact"/>
      <w:jc w:val="left"/>
    </w:pPr>
    <w:rPr>
      <w:rFonts w:eastAsia="宋体"/>
      <w:sz w:val="21"/>
      <w:szCs w:val="20"/>
    </w:rPr>
  </w:style>
  <w:style w:type="paragraph" w:customStyle="1" w:styleId="30">
    <w:name w:val=" Char1"/>
    <w:basedOn w:val="1"/>
    <w:uiPriority w:val="0"/>
    <w:pPr>
      <w:ind w:firstLine="640" w:firstLineChars="200"/>
    </w:pPr>
    <w:rPr>
      <w:rFonts w:ascii="Arial" w:hAnsi="Arial" w:eastAsia="宋体" w:cs="Arial"/>
      <w:sz w:val="21"/>
      <w:szCs w:val="24"/>
    </w:rPr>
  </w:style>
  <w:style w:type="paragraph" w:customStyle="1" w:styleId="31">
    <w:name w:val="List Paragraph"/>
    <w:basedOn w:val="1"/>
    <w:uiPriority w:val="0"/>
    <w:pPr>
      <w:ind w:firstLine="420" w:firstLineChars="200"/>
    </w:pPr>
    <w:rPr>
      <w:rFonts w:ascii="Calibri" w:hAnsi="Calibri" w:eastAsia="宋体"/>
      <w:sz w:val="21"/>
      <w:szCs w:val="22"/>
    </w:rPr>
  </w:style>
  <w:style w:type="paragraph" w:customStyle="1" w:styleId="32">
    <w:name w:val="无间隔"/>
    <w:qFormat/>
    <w:uiPriority w:val="0"/>
    <w:pPr>
      <w:widowControl w:val="0"/>
      <w:jc w:val="both"/>
    </w:pPr>
    <w:rPr>
      <w:kern w:val="2"/>
      <w:sz w:val="21"/>
      <w:szCs w:val="24"/>
      <w:lang w:val="en-US" w:eastAsia="zh-CN" w:bidi="ar-SA"/>
    </w:rPr>
  </w:style>
  <w:style w:type="paragraph" w:customStyle="1" w:styleId="33">
    <w:name w:val="paragraph"/>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列出段落"/>
    <w:basedOn w:val="1"/>
    <w:qFormat/>
    <w:uiPriority w:val="0"/>
    <w:pPr>
      <w:ind w:firstLine="420" w:firstLineChars="200"/>
    </w:pPr>
    <w:rPr>
      <w:rFonts w:eastAsia="宋体"/>
      <w:sz w:val="21"/>
      <w:szCs w:val="22"/>
    </w:rPr>
  </w:style>
  <w:style w:type="paragraph" w:customStyle="1" w:styleId="35">
    <w:name w:val="Body text|1"/>
    <w:basedOn w:val="1"/>
    <w:uiPriority w:val="0"/>
    <w:pPr>
      <w:spacing w:after="40"/>
    </w:pPr>
    <w:rPr>
      <w:rFonts w:ascii="宋体" w:hAnsi="宋体" w:eastAsia="宋体" w:cs="宋体"/>
      <w:sz w:val="30"/>
      <w:szCs w:val="30"/>
      <w:lang w:val="zh-TW" w:eastAsia="zh-TW"/>
    </w:rPr>
  </w:style>
  <w:style w:type="paragraph" w:customStyle="1" w:styleId="36">
    <w:name w:val="Heading #1|1"/>
    <w:basedOn w:val="1"/>
    <w:uiPriority w:val="0"/>
    <w:pPr>
      <w:spacing w:after="310"/>
      <w:jc w:val="center"/>
      <w:outlineLvl w:val="0"/>
    </w:pPr>
    <w:rPr>
      <w:rFonts w:ascii="宋体" w:hAnsi="宋体" w:eastAsia="宋体" w:cs="宋体"/>
      <w:sz w:val="36"/>
      <w:szCs w:val="36"/>
      <w:lang w:val="zh-TW" w:eastAsia="zh-TW"/>
    </w:rPr>
  </w:style>
  <w:style w:type="paragraph" w:customStyle="1" w:styleId="37">
    <w:name w:val="Other|1"/>
    <w:basedOn w:val="1"/>
    <w:uiPriority w:val="0"/>
    <w:rPr>
      <w:rFonts w:ascii="宋体" w:hAnsi="宋体" w:eastAsia="宋体" w:cs="宋体"/>
      <w:sz w:val="22"/>
      <w:szCs w:val="22"/>
      <w:lang w:val="zh-TW" w:eastAsia="zh-TW"/>
    </w:rPr>
  </w:style>
  <w:style w:type="paragraph" w:customStyle="1" w:styleId="38">
    <w:name w:val="Other|2"/>
    <w:basedOn w:val="1"/>
    <w:uiPriority w:val="0"/>
    <w:pPr>
      <w:spacing w:line="259" w:lineRule="exact"/>
      <w:jc w:val="center"/>
    </w:pPr>
    <w:rPr>
      <w:rFonts w:ascii="宋体" w:hAnsi="宋体" w:eastAsia="宋体" w:cs="宋体"/>
      <w:sz w:val="28"/>
      <w:szCs w:val="28"/>
      <w:lang w:val="zh-TW" w:eastAsia="zh-TW"/>
    </w:rPr>
  </w:style>
  <w:style w:type="paragraph" w:customStyle="1" w:styleId="39">
    <w:name w:val=" Char Char Char Char Char Char Char Char Char"/>
    <w:basedOn w:val="1"/>
    <w:uiPriority w:val="0"/>
    <w:pPr>
      <w:widowControl/>
      <w:spacing w:after="160" w:line="240" w:lineRule="exact"/>
      <w:jc w:val="left"/>
    </w:pPr>
    <w:rPr>
      <w:rFonts w:ascii="Verdana" w:hAnsi="Verdana"/>
      <w:kern w:val="0"/>
      <w:sz w:val="24"/>
      <w:szCs w:val="20"/>
      <w:lang w:eastAsia="en-US"/>
    </w:rPr>
  </w:style>
  <w:style w:type="paragraph" w:customStyle="1" w:styleId="40">
    <w:name w:val="Char1 Char Char Char Char Char Char"/>
    <w:basedOn w:val="1"/>
    <w:uiPriority w:val="0"/>
    <w:rPr>
      <w:rFonts w:eastAsia="宋体"/>
      <w:sz w:val="21"/>
      <w:szCs w:val="24"/>
    </w:rPr>
  </w:style>
  <w:style w:type="paragraph" w:customStyle="1" w:styleId="41">
    <w:name w:val="章标题"/>
    <w:next w:val="1"/>
    <w:qFormat/>
    <w:uiPriority w:val="0"/>
    <w:pPr>
      <w:numPr>
        <w:ilvl w:val="2"/>
        <w:numId w:val="1"/>
      </w:numPr>
      <w:spacing w:line="360" w:lineRule="auto"/>
      <w:ind w:firstLine="420" w:firstLineChars="200"/>
      <w:jc w:val="both"/>
      <w:outlineLvl w:val="1"/>
    </w:pPr>
    <w:rPr>
      <w:rFonts w:ascii="黑体" w:hAnsi="黑体" w:eastAsia="黑体"/>
      <w:sz w:val="21"/>
      <w:lang w:val="en-US" w:eastAsia="zh-CN" w:bidi="ar-SA"/>
    </w:rPr>
  </w:style>
  <w:style w:type="character" w:customStyle="1" w:styleId="42">
    <w:name w:val="ca-21"/>
    <w:basedOn w:val="18"/>
    <w:uiPriority w:val="0"/>
    <w:rPr>
      <w:rFonts w:hint="eastAsia" w:ascii="仿宋_GB2312" w:eastAsia="仿宋_GB2312"/>
      <w:sz w:val="28"/>
      <w:szCs w:val="28"/>
    </w:rPr>
  </w:style>
  <w:style w:type="character" w:customStyle="1" w:styleId="43">
    <w:name w:val="NormalCharacter"/>
    <w:qFormat/>
    <w:uiPriority w:val="0"/>
    <w:rPr>
      <w:rFonts w:ascii="Calibri" w:hAnsi="Calibri" w:eastAsia="宋体" w:cs="Times New Roman"/>
      <w:kern w:val="2"/>
      <w:sz w:val="21"/>
      <w:szCs w:val="24"/>
      <w:lang w:val="en-US" w:eastAsia="zh-CN" w:bidi="ar-SA"/>
    </w:rPr>
  </w:style>
  <w:style w:type="character" w:customStyle="1" w:styleId="44">
    <w:name w:val="Plain Text Char"/>
    <w:basedOn w:val="18"/>
    <w:link w:val="6"/>
    <w:semiHidden/>
    <w:locked/>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10</Pages>
  <Words>674</Words>
  <Characters>3844</Characters>
  <Lines>32</Lines>
  <Paragraphs>9</Paragraphs>
  <TotalTime>0</TotalTime>
  <ScaleCrop>false</ScaleCrop>
  <LinksUpToDate>false</LinksUpToDate>
  <CharactersWithSpaces>4509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2022-08-29T08:36:00Z</dcterms:created>
  <dc:creator>番茄花园</dc:creator>
  <cp:lastModifiedBy>admin</cp:lastModifiedBy>
  <cp:lastPrinted>2022-08-29T08:36:00Z</cp:lastPrinted>
  <dcterms:modified xsi:type="dcterms:W3CDTF">2022-08-31T07:01:45Z</dcterms:modified>
  <dc:title>          各县市人民政府                       刘毓临</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